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1858"/>
        <w:gridCol w:w="1701"/>
        <w:gridCol w:w="6931"/>
      </w:tblGrid>
      <w:tr w:rsidR="008B12C2" w:rsidRPr="008B12C2" w:rsidTr="00D60998">
        <w:trPr>
          <w:trHeight w:val="339"/>
          <w:jc w:val="center"/>
        </w:trPr>
        <w:tc>
          <w:tcPr>
            <w:tcW w:w="1858" w:type="dxa"/>
            <w:vMerge w:val="restart"/>
            <w:shd w:val="clear" w:color="auto" w:fill="auto"/>
            <w:tcMar>
              <w:top w:w="80" w:type="dxa"/>
              <w:left w:w="80" w:type="dxa"/>
              <w:bottom w:w="80" w:type="dxa"/>
              <w:right w:w="80" w:type="dxa"/>
            </w:tcMar>
          </w:tcPr>
          <w:p w:rsidR="007B148B" w:rsidRPr="008B12C2" w:rsidRDefault="00C13EE5" w:rsidP="00E155DF">
            <w:pPr>
              <w:pStyle w:val="NoSpacing"/>
              <w:rPr>
                <w:rFonts w:ascii="Calibri" w:hAnsi="Calibri" w:cs="Calibri"/>
              </w:rPr>
            </w:pPr>
            <w:r w:rsidRPr="008B12C2">
              <w:rPr>
                <w:rFonts w:ascii="Calibri" w:hAnsi="Calibri" w:cs="Calibri"/>
                <w:noProof/>
                <w:lang w:val="en-GB" w:eastAsia="en-GB"/>
              </w:rPr>
              <w:drawing>
                <wp:inline distT="0" distB="0" distL="0" distR="0">
                  <wp:extent cx="9144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001.jpg"/>
                          <pic:cNvPicPr/>
                        </pic:nvPicPr>
                        <pic:blipFill>
                          <a:blip r:embed="rId7">
                            <a:extLst>
                              <a:ext uri="{28A0092B-C50C-407E-A947-70E740481C1C}">
                                <a14:useLocalDpi xmlns:a14="http://schemas.microsoft.com/office/drawing/2010/main" val="0"/>
                              </a:ext>
                            </a:extLst>
                          </a:blip>
                          <a:stretch>
                            <a:fillRect/>
                          </a:stretch>
                        </pic:blipFill>
                        <pic:spPr>
                          <a:xfrm>
                            <a:off x="0" y="0"/>
                            <a:ext cx="914400" cy="548640"/>
                          </a:xfrm>
                          <a:prstGeom prst="rect">
                            <a:avLst/>
                          </a:prstGeom>
                        </pic:spPr>
                      </pic:pic>
                    </a:graphicData>
                  </a:graphic>
                </wp:inline>
              </w:drawing>
            </w:r>
          </w:p>
        </w:tc>
        <w:tc>
          <w:tcPr>
            <w:tcW w:w="8632" w:type="dxa"/>
            <w:gridSpan w:val="2"/>
            <w:shd w:val="clear" w:color="auto" w:fill="auto"/>
            <w:tcMar>
              <w:top w:w="80" w:type="dxa"/>
              <w:left w:w="80" w:type="dxa"/>
              <w:bottom w:w="80" w:type="dxa"/>
              <w:right w:w="80" w:type="dxa"/>
            </w:tcMar>
          </w:tcPr>
          <w:p w:rsidR="007B148B" w:rsidRPr="008B12C2" w:rsidRDefault="00555486" w:rsidP="00EF089E">
            <w:pPr>
              <w:pStyle w:val="Body"/>
              <w:spacing w:line="240" w:lineRule="auto"/>
              <w:jc w:val="both"/>
              <w:rPr>
                <w:rFonts w:cs="Calibri"/>
                <w:color w:val="auto"/>
              </w:rPr>
            </w:pPr>
            <w:r w:rsidRPr="008B12C2">
              <w:rPr>
                <w:rFonts w:cs="Calibri"/>
                <w:b/>
                <w:bCs/>
                <w:color w:val="auto"/>
                <w:sz w:val="32"/>
                <w:szCs w:val="32"/>
                <w:lang w:val="en-US"/>
              </w:rPr>
              <w:t>LINK COMMUNITY DEVELOPMENT ETHIOPIA</w:t>
            </w:r>
          </w:p>
        </w:tc>
      </w:tr>
      <w:tr w:rsidR="008B12C2" w:rsidRPr="008B12C2" w:rsidTr="00D60998">
        <w:trPr>
          <w:trHeight w:val="247"/>
          <w:jc w:val="center"/>
        </w:trPr>
        <w:tc>
          <w:tcPr>
            <w:tcW w:w="1858" w:type="dxa"/>
            <w:vMerge/>
            <w:shd w:val="clear" w:color="auto" w:fill="auto"/>
          </w:tcPr>
          <w:p w:rsidR="007B148B" w:rsidRPr="008B12C2" w:rsidRDefault="007B148B">
            <w:pPr>
              <w:rPr>
                <w:rFonts w:ascii="Calibri" w:hAnsi="Calibri" w:cs="Calibri"/>
              </w:rPr>
            </w:pPr>
          </w:p>
        </w:tc>
        <w:tc>
          <w:tcPr>
            <w:tcW w:w="1701" w:type="dxa"/>
            <w:shd w:val="clear" w:color="auto" w:fill="auto"/>
            <w:tcMar>
              <w:top w:w="80" w:type="dxa"/>
              <w:left w:w="80" w:type="dxa"/>
              <w:bottom w:w="80" w:type="dxa"/>
              <w:right w:w="80" w:type="dxa"/>
            </w:tcMar>
            <w:vAlign w:val="center"/>
          </w:tcPr>
          <w:p w:rsidR="007B148B" w:rsidRPr="008B12C2" w:rsidRDefault="00555486" w:rsidP="00EF089E">
            <w:pPr>
              <w:pStyle w:val="Body"/>
              <w:spacing w:line="240" w:lineRule="auto"/>
              <w:jc w:val="both"/>
              <w:rPr>
                <w:rFonts w:cs="Calibri"/>
                <w:color w:val="auto"/>
              </w:rPr>
            </w:pPr>
            <w:r w:rsidRPr="008B12C2">
              <w:rPr>
                <w:rFonts w:cs="Calibri"/>
                <w:b/>
                <w:bCs/>
                <w:color w:val="auto"/>
                <w:sz w:val="24"/>
                <w:szCs w:val="24"/>
                <w:lang w:val="en-US"/>
              </w:rPr>
              <w:t>Job Title</w:t>
            </w:r>
          </w:p>
        </w:tc>
        <w:tc>
          <w:tcPr>
            <w:tcW w:w="6931" w:type="dxa"/>
            <w:shd w:val="clear" w:color="auto" w:fill="auto"/>
            <w:tcMar>
              <w:top w:w="80" w:type="dxa"/>
              <w:left w:w="80" w:type="dxa"/>
              <w:bottom w:w="80" w:type="dxa"/>
              <w:right w:w="80" w:type="dxa"/>
            </w:tcMar>
            <w:vAlign w:val="center"/>
          </w:tcPr>
          <w:p w:rsidR="007B148B" w:rsidRPr="008B12C2" w:rsidRDefault="00482FA6" w:rsidP="00D60998">
            <w:pPr>
              <w:pStyle w:val="Body"/>
              <w:spacing w:line="240" w:lineRule="auto"/>
              <w:jc w:val="both"/>
              <w:rPr>
                <w:rFonts w:cs="Calibri"/>
                <w:color w:val="auto"/>
                <w:sz w:val="24"/>
                <w:szCs w:val="24"/>
              </w:rPr>
            </w:pPr>
            <w:r w:rsidRPr="008B12C2">
              <w:rPr>
                <w:rFonts w:cs="Calibri"/>
                <w:color w:val="auto"/>
                <w:sz w:val="24"/>
                <w:szCs w:val="24"/>
                <w:lang w:val="en-US"/>
              </w:rPr>
              <w:t>T</w:t>
            </w:r>
            <w:r w:rsidR="000A1682" w:rsidRPr="008B12C2">
              <w:rPr>
                <w:rFonts w:cs="Calibri"/>
                <w:color w:val="auto"/>
                <w:sz w:val="24"/>
                <w:szCs w:val="24"/>
                <w:lang w:val="en-US"/>
              </w:rPr>
              <w:t>eacher T</w:t>
            </w:r>
            <w:r w:rsidRPr="008B12C2">
              <w:rPr>
                <w:rFonts w:cs="Calibri"/>
                <w:color w:val="auto"/>
                <w:sz w:val="24"/>
                <w:szCs w:val="24"/>
                <w:lang w:val="en-US"/>
              </w:rPr>
              <w:t xml:space="preserve">raining, Gender &amp; Inclusion – Lead </w:t>
            </w:r>
            <w:r w:rsidR="00AF58AC" w:rsidRPr="008B12C2">
              <w:rPr>
                <w:rFonts w:cs="Calibri"/>
                <w:color w:val="auto"/>
                <w:sz w:val="24"/>
                <w:szCs w:val="24"/>
                <w:lang w:val="en-US"/>
              </w:rPr>
              <w:t xml:space="preserve">Consultant </w:t>
            </w:r>
          </w:p>
        </w:tc>
      </w:tr>
      <w:tr w:rsidR="008B12C2" w:rsidRPr="008B12C2" w:rsidTr="00D60998">
        <w:trPr>
          <w:trHeight w:val="247"/>
          <w:jc w:val="center"/>
        </w:trPr>
        <w:tc>
          <w:tcPr>
            <w:tcW w:w="1858" w:type="dxa"/>
            <w:vMerge/>
            <w:shd w:val="clear" w:color="auto" w:fill="auto"/>
          </w:tcPr>
          <w:p w:rsidR="007B148B" w:rsidRPr="008B12C2" w:rsidRDefault="007B148B">
            <w:pPr>
              <w:rPr>
                <w:rFonts w:ascii="Calibri" w:hAnsi="Calibri" w:cs="Calibri"/>
              </w:rPr>
            </w:pPr>
          </w:p>
        </w:tc>
        <w:tc>
          <w:tcPr>
            <w:tcW w:w="1701" w:type="dxa"/>
            <w:shd w:val="clear" w:color="auto" w:fill="auto"/>
            <w:tcMar>
              <w:top w:w="80" w:type="dxa"/>
              <w:left w:w="80" w:type="dxa"/>
              <w:bottom w:w="80" w:type="dxa"/>
              <w:right w:w="80" w:type="dxa"/>
            </w:tcMar>
            <w:vAlign w:val="center"/>
          </w:tcPr>
          <w:p w:rsidR="007B148B" w:rsidRPr="008B12C2" w:rsidRDefault="00541D3B" w:rsidP="00EF089E">
            <w:pPr>
              <w:pStyle w:val="Body"/>
              <w:spacing w:line="240" w:lineRule="auto"/>
              <w:jc w:val="both"/>
              <w:rPr>
                <w:rFonts w:cs="Calibri"/>
                <w:color w:val="auto"/>
              </w:rPr>
            </w:pPr>
            <w:r w:rsidRPr="008B12C2">
              <w:rPr>
                <w:rFonts w:cs="Calibri"/>
                <w:b/>
                <w:bCs/>
                <w:color w:val="auto"/>
                <w:sz w:val="24"/>
                <w:szCs w:val="24"/>
                <w:lang w:val="en-US"/>
              </w:rPr>
              <w:t>Contract Type</w:t>
            </w:r>
          </w:p>
        </w:tc>
        <w:tc>
          <w:tcPr>
            <w:tcW w:w="6931" w:type="dxa"/>
            <w:shd w:val="clear" w:color="auto" w:fill="auto"/>
            <w:tcMar>
              <w:top w:w="80" w:type="dxa"/>
              <w:left w:w="80" w:type="dxa"/>
              <w:bottom w:w="80" w:type="dxa"/>
              <w:right w:w="80" w:type="dxa"/>
            </w:tcMar>
            <w:vAlign w:val="center"/>
          </w:tcPr>
          <w:p w:rsidR="007B148B" w:rsidRPr="008B12C2" w:rsidRDefault="00AF58AC" w:rsidP="00EF089E">
            <w:pPr>
              <w:pStyle w:val="Body"/>
              <w:spacing w:line="240" w:lineRule="auto"/>
              <w:jc w:val="both"/>
              <w:rPr>
                <w:rFonts w:cs="Calibri"/>
                <w:color w:val="auto"/>
                <w:sz w:val="24"/>
                <w:szCs w:val="24"/>
              </w:rPr>
            </w:pPr>
            <w:r w:rsidRPr="008B12C2">
              <w:rPr>
                <w:rFonts w:cs="Calibri"/>
                <w:color w:val="auto"/>
                <w:sz w:val="24"/>
                <w:szCs w:val="24"/>
              </w:rPr>
              <w:t>Consultancy</w:t>
            </w:r>
          </w:p>
        </w:tc>
      </w:tr>
      <w:tr w:rsidR="008B12C2" w:rsidRPr="008B12C2" w:rsidTr="00D60998">
        <w:trPr>
          <w:trHeight w:val="247"/>
          <w:jc w:val="center"/>
        </w:trPr>
        <w:tc>
          <w:tcPr>
            <w:tcW w:w="1858" w:type="dxa"/>
            <w:vMerge/>
            <w:shd w:val="clear" w:color="auto" w:fill="auto"/>
          </w:tcPr>
          <w:p w:rsidR="007B148B" w:rsidRPr="008B12C2" w:rsidRDefault="007B148B">
            <w:pPr>
              <w:rPr>
                <w:rFonts w:ascii="Calibri" w:hAnsi="Calibri" w:cs="Calibri"/>
              </w:rPr>
            </w:pPr>
          </w:p>
        </w:tc>
        <w:tc>
          <w:tcPr>
            <w:tcW w:w="1701" w:type="dxa"/>
            <w:shd w:val="clear" w:color="auto" w:fill="auto"/>
            <w:tcMar>
              <w:top w:w="80" w:type="dxa"/>
              <w:left w:w="80" w:type="dxa"/>
              <w:bottom w:w="80" w:type="dxa"/>
              <w:right w:w="80" w:type="dxa"/>
            </w:tcMar>
            <w:vAlign w:val="center"/>
          </w:tcPr>
          <w:p w:rsidR="007B148B" w:rsidRPr="008B12C2" w:rsidRDefault="00541D3B" w:rsidP="00EF089E">
            <w:pPr>
              <w:pStyle w:val="Body"/>
              <w:spacing w:line="240" w:lineRule="auto"/>
              <w:jc w:val="both"/>
              <w:rPr>
                <w:rFonts w:cs="Calibri"/>
                <w:color w:val="auto"/>
              </w:rPr>
            </w:pPr>
            <w:r w:rsidRPr="008B12C2">
              <w:rPr>
                <w:rFonts w:cs="Calibri"/>
                <w:b/>
                <w:bCs/>
                <w:color w:val="auto"/>
                <w:sz w:val="24"/>
                <w:szCs w:val="24"/>
                <w:lang w:val="en-US"/>
              </w:rPr>
              <w:t>Reporting</w:t>
            </w:r>
            <w:r w:rsidR="00555486" w:rsidRPr="008B12C2">
              <w:rPr>
                <w:rFonts w:cs="Calibri"/>
                <w:b/>
                <w:bCs/>
                <w:color w:val="auto"/>
                <w:sz w:val="24"/>
                <w:szCs w:val="24"/>
                <w:lang w:val="en-US"/>
              </w:rPr>
              <w:t xml:space="preserve"> to</w:t>
            </w:r>
          </w:p>
        </w:tc>
        <w:tc>
          <w:tcPr>
            <w:tcW w:w="6931" w:type="dxa"/>
            <w:shd w:val="clear" w:color="auto" w:fill="auto"/>
            <w:tcMar>
              <w:top w:w="80" w:type="dxa"/>
              <w:left w:w="80" w:type="dxa"/>
              <w:bottom w:w="80" w:type="dxa"/>
              <w:right w:w="80" w:type="dxa"/>
            </w:tcMar>
            <w:vAlign w:val="center"/>
          </w:tcPr>
          <w:p w:rsidR="007B148B" w:rsidRPr="008B12C2" w:rsidRDefault="00396753" w:rsidP="00D60998">
            <w:pPr>
              <w:pStyle w:val="Body"/>
              <w:spacing w:line="240" w:lineRule="auto"/>
              <w:jc w:val="both"/>
              <w:rPr>
                <w:rFonts w:cs="Calibri"/>
                <w:color w:val="auto"/>
                <w:sz w:val="24"/>
                <w:szCs w:val="24"/>
              </w:rPr>
            </w:pPr>
            <w:r w:rsidRPr="008B12C2">
              <w:rPr>
                <w:rFonts w:cs="Calibri"/>
                <w:color w:val="auto"/>
                <w:sz w:val="24"/>
                <w:szCs w:val="24"/>
                <w:lang w:val="en-US"/>
              </w:rPr>
              <w:t xml:space="preserve">Country Representative – Ethiopia, </w:t>
            </w:r>
            <w:r w:rsidR="00D60998" w:rsidRPr="008B12C2">
              <w:rPr>
                <w:rFonts w:cs="Calibri"/>
                <w:color w:val="auto"/>
                <w:sz w:val="24"/>
                <w:szCs w:val="24"/>
                <w:lang w:val="en-US"/>
              </w:rPr>
              <w:t xml:space="preserve"> </w:t>
            </w:r>
            <w:r w:rsidRPr="008B12C2">
              <w:rPr>
                <w:rFonts w:cs="Calibri"/>
                <w:color w:val="auto"/>
                <w:sz w:val="24"/>
                <w:szCs w:val="24"/>
                <w:lang w:val="en-US"/>
              </w:rPr>
              <w:t>Link Education International</w:t>
            </w:r>
          </w:p>
        </w:tc>
      </w:tr>
      <w:tr w:rsidR="007B148B" w:rsidRPr="008B12C2" w:rsidTr="00D60998">
        <w:trPr>
          <w:trHeight w:val="247"/>
          <w:jc w:val="center"/>
        </w:trPr>
        <w:tc>
          <w:tcPr>
            <w:tcW w:w="1858" w:type="dxa"/>
            <w:vMerge/>
            <w:shd w:val="clear" w:color="auto" w:fill="auto"/>
          </w:tcPr>
          <w:p w:rsidR="007B148B" w:rsidRPr="008B12C2" w:rsidRDefault="007B148B">
            <w:pPr>
              <w:rPr>
                <w:rFonts w:ascii="Calibri" w:hAnsi="Calibri" w:cs="Calibri"/>
              </w:rPr>
            </w:pPr>
          </w:p>
        </w:tc>
        <w:tc>
          <w:tcPr>
            <w:tcW w:w="1701" w:type="dxa"/>
            <w:shd w:val="clear" w:color="auto" w:fill="auto"/>
            <w:tcMar>
              <w:top w:w="80" w:type="dxa"/>
              <w:left w:w="80" w:type="dxa"/>
              <w:bottom w:w="80" w:type="dxa"/>
              <w:right w:w="80" w:type="dxa"/>
            </w:tcMar>
          </w:tcPr>
          <w:p w:rsidR="00541D3B" w:rsidRPr="008B12C2" w:rsidRDefault="00555486" w:rsidP="00EF089E">
            <w:pPr>
              <w:pStyle w:val="Body"/>
              <w:spacing w:line="240" w:lineRule="auto"/>
              <w:jc w:val="both"/>
              <w:rPr>
                <w:rFonts w:cs="Calibri"/>
                <w:b/>
                <w:bCs/>
                <w:color w:val="auto"/>
                <w:sz w:val="24"/>
                <w:szCs w:val="24"/>
                <w:lang w:val="en-US"/>
              </w:rPr>
            </w:pPr>
            <w:r w:rsidRPr="008B12C2">
              <w:rPr>
                <w:rFonts w:cs="Calibri"/>
                <w:b/>
                <w:bCs/>
                <w:color w:val="auto"/>
                <w:sz w:val="24"/>
                <w:szCs w:val="24"/>
                <w:lang w:val="en-US"/>
              </w:rPr>
              <w:t>Location</w:t>
            </w:r>
          </w:p>
        </w:tc>
        <w:tc>
          <w:tcPr>
            <w:tcW w:w="6931" w:type="dxa"/>
            <w:shd w:val="clear" w:color="auto" w:fill="auto"/>
            <w:tcMar>
              <w:top w:w="80" w:type="dxa"/>
              <w:left w:w="80" w:type="dxa"/>
              <w:bottom w:w="80" w:type="dxa"/>
              <w:right w:w="80" w:type="dxa"/>
            </w:tcMar>
            <w:vAlign w:val="center"/>
          </w:tcPr>
          <w:p w:rsidR="007B148B" w:rsidRPr="008B12C2" w:rsidRDefault="00482FA6" w:rsidP="00AF58AC">
            <w:pPr>
              <w:pStyle w:val="Body"/>
              <w:spacing w:line="240" w:lineRule="auto"/>
              <w:jc w:val="both"/>
              <w:rPr>
                <w:rFonts w:cs="Calibri"/>
                <w:color w:val="auto"/>
                <w:sz w:val="24"/>
                <w:szCs w:val="24"/>
              </w:rPr>
            </w:pPr>
            <w:r w:rsidRPr="008B12C2">
              <w:rPr>
                <w:rFonts w:cs="Calibri"/>
                <w:color w:val="auto"/>
                <w:sz w:val="24"/>
                <w:szCs w:val="24"/>
              </w:rPr>
              <w:t>Home-based</w:t>
            </w:r>
          </w:p>
        </w:tc>
      </w:tr>
    </w:tbl>
    <w:p w:rsidR="007B148B" w:rsidRPr="008B12C2" w:rsidRDefault="007B148B">
      <w:pPr>
        <w:pStyle w:val="Body"/>
        <w:rPr>
          <w:rFonts w:cs="Calibri"/>
          <w:color w:val="auto"/>
        </w:rPr>
      </w:pPr>
    </w:p>
    <w:tbl>
      <w:tblPr>
        <w:tblW w:w="10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90"/>
      </w:tblGrid>
      <w:tr w:rsidR="008B12C2" w:rsidRPr="008B12C2">
        <w:trPr>
          <w:trHeight w:val="389"/>
          <w:jc w:val="center"/>
        </w:trPr>
        <w:tc>
          <w:tcPr>
            <w:tcW w:w="10490" w:type="dxa"/>
            <w:tcBorders>
              <w:top w:val="single" w:sz="24" w:space="0" w:color="000000"/>
              <w:left w:val="nil"/>
              <w:bottom w:val="single" w:sz="24" w:space="0" w:color="000000"/>
              <w:right w:val="nil"/>
            </w:tcBorders>
            <w:shd w:val="clear" w:color="auto" w:fill="auto"/>
            <w:tcMar>
              <w:top w:w="80" w:type="dxa"/>
              <w:left w:w="80" w:type="dxa"/>
              <w:bottom w:w="80" w:type="dxa"/>
              <w:right w:w="80" w:type="dxa"/>
            </w:tcMar>
          </w:tcPr>
          <w:p w:rsidR="007B148B" w:rsidRPr="008B12C2" w:rsidRDefault="00555486">
            <w:pPr>
              <w:pStyle w:val="Body"/>
              <w:rPr>
                <w:rFonts w:cs="Calibri"/>
                <w:color w:val="auto"/>
              </w:rPr>
            </w:pPr>
            <w:r w:rsidRPr="008B12C2">
              <w:rPr>
                <w:rFonts w:cs="Calibri"/>
                <w:b/>
                <w:bCs/>
                <w:color w:val="auto"/>
                <w:sz w:val="32"/>
                <w:szCs w:val="32"/>
                <w:lang w:val="en-US"/>
              </w:rPr>
              <w:t>ABOUT LINK COMMUNITY DEVELOPMENT</w:t>
            </w:r>
          </w:p>
        </w:tc>
      </w:tr>
      <w:tr w:rsidR="008B12C2" w:rsidRPr="008B12C2">
        <w:trPr>
          <w:trHeight w:val="2611"/>
          <w:jc w:val="center"/>
        </w:trPr>
        <w:tc>
          <w:tcPr>
            <w:tcW w:w="10490" w:type="dxa"/>
            <w:tcBorders>
              <w:top w:val="single" w:sz="24" w:space="0" w:color="000000"/>
              <w:left w:val="nil"/>
              <w:bottom w:val="single" w:sz="24" w:space="0" w:color="000000"/>
              <w:right w:val="nil"/>
            </w:tcBorders>
            <w:shd w:val="clear" w:color="auto" w:fill="auto"/>
            <w:tcMar>
              <w:top w:w="80" w:type="dxa"/>
              <w:left w:w="80" w:type="dxa"/>
              <w:bottom w:w="80" w:type="dxa"/>
              <w:right w:w="80" w:type="dxa"/>
            </w:tcMar>
          </w:tcPr>
          <w:p w:rsidR="007B148B" w:rsidRPr="008B12C2" w:rsidRDefault="00555486" w:rsidP="00617B05">
            <w:pPr>
              <w:pStyle w:val="Body"/>
              <w:spacing w:after="240" w:line="240" w:lineRule="auto"/>
              <w:jc w:val="both"/>
              <w:rPr>
                <w:rFonts w:cs="Calibri"/>
                <w:color w:val="auto"/>
                <w:sz w:val="24"/>
                <w:szCs w:val="24"/>
              </w:rPr>
            </w:pPr>
            <w:r w:rsidRPr="008B12C2">
              <w:rPr>
                <w:rFonts w:cs="Calibri"/>
                <w:color w:val="auto"/>
                <w:sz w:val="24"/>
                <w:szCs w:val="24"/>
                <w:lang w:val="en-US"/>
              </w:rPr>
              <w:t>Link Commu</w:t>
            </w:r>
            <w:r w:rsidR="001621AB" w:rsidRPr="008B12C2">
              <w:rPr>
                <w:rFonts w:cs="Calibri"/>
                <w:color w:val="auto"/>
                <w:sz w:val="24"/>
                <w:szCs w:val="24"/>
                <w:lang w:val="en-US"/>
              </w:rPr>
              <w:t xml:space="preserve">nity Development Ethiopia </w:t>
            </w:r>
            <w:r w:rsidR="007255CB" w:rsidRPr="008B12C2">
              <w:rPr>
                <w:rFonts w:cs="Calibri"/>
                <w:color w:val="auto"/>
                <w:sz w:val="24"/>
                <w:szCs w:val="24"/>
                <w:lang w:val="en-US"/>
              </w:rPr>
              <w:t xml:space="preserve">(LCDE) </w:t>
            </w:r>
            <w:r w:rsidR="001621AB" w:rsidRPr="008B12C2">
              <w:rPr>
                <w:rFonts w:cs="Calibri"/>
                <w:color w:val="auto"/>
                <w:sz w:val="24"/>
                <w:szCs w:val="24"/>
                <w:lang w:val="en-US"/>
              </w:rPr>
              <w:t>is part of Link Education International</w:t>
            </w:r>
            <w:r w:rsidR="00EA1B22" w:rsidRPr="008B12C2">
              <w:rPr>
                <w:rFonts w:cs="Calibri"/>
                <w:color w:val="auto"/>
                <w:sz w:val="24"/>
                <w:szCs w:val="24"/>
                <w:lang w:val="en-US"/>
              </w:rPr>
              <w:t xml:space="preserve"> (LEI)</w:t>
            </w:r>
            <w:r w:rsidR="001621AB" w:rsidRPr="008B12C2">
              <w:rPr>
                <w:rFonts w:cs="Calibri"/>
                <w:color w:val="auto"/>
                <w:sz w:val="24"/>
                <w:szCs w:val="24"/>
                <w:lang w:val="en-US"/>
              </w:rPr>
              <w:t xml:space="preserve">, </w:t>
            </w:r>
            <w:r w:rsidR="00EA1B22" w:rsidRPr="008B12C2">
              <w:rPr>
                <w:rFonts w:cs="Calibri"/>
                <w:color w:val="auto"/>
                <w:sz w:val="24"/>
                <w:szCs w:val="24"/>
                <w:lang w:val="en-US"/>
              </w:rPr>
              <w:t xml:space="preserve">a family of </w:t>
            </w:r>
            <w:r w:rsidRPr="008B12C2">
              <w:rPr>
                <w:rFonts w:cs="Calibri"/>
                <w:color w:val="auto"/>
                <w:sz w:val="24"/>
                <w:szCs w:val="24"/>
                <w:lang w:val="en-US"/>
              </w:rPr>
              <w:t>not for profit organisations working together to transform education for children and communities across impover</w:t>
            </w:r>
            <w:r w:rsidR="00541D3B" w:rsidRPr="008B12C2">
              <w:rPr>
                <w:rFonts w:cs="Calibri"/>
                <w:color w:val="auto"/>
                <w:sz w:val="24"/>
                <w:szCs w:val="24"/>
                <w:lang w:val="en-US"/>
              </w:rPr>
              <w:t xml:space="preserve">ished areas of Ethiopia, </w:t>
            </w:r>
            <w:r w:rsidRPr="008B12C2">
              <w:rPr>
                <w:rFonts w:cs="Calibri"/>
                <w:color w:val="auto"/>
                <w:sz w:val="24"/>
                <w:szCs w:val="24"/>
                <w:lang w:val="en-US"/>
              </w:rPr>
              <w:t xml:space="preserve">Malawi, Rwanda and Uganda. Since our foundation in 1995 we have worked in 3,000 schools and improved the lives of over </w:t>
            </w:r>
            <w:r w:rsidR="003C6BC2" w:rsidRPr="008B12C2">
              <w:rPr>
                <w:rFonts w:cs="Calibri"/>
                <w:color w:val="auto"/>
                <w:sz w:val="24"/>
                <w:szCs w:val="24"/>
                <w:lang w:val="en-US"/>
              </w:rPr>
              <w:t>2,000,000</w:t>
            </w:r>
            <w:r w:rsidRPr="008B12C2">
              <w:rPr>
                <w:rFonts w:cs="Calibri"/>
                <w:color w:val="auto"/>
                <w:sz w:val="24"/>
                <w:szCs w:val="24"/>
                <w:lang w:val="en-US"/>
              </w:rPr>
              <w:t xml:space="preserve"> children through unique and effective school improvement models. We guide governments and educators to adopt low-cost solutions to improve learning and support for children, with a focus on literacy, numeracy and inclusion for the most marginalised children. Through a partnership delivery model which embeds piloting and learning within local systems, we influence changes to policy, practice and accountability on a national scale, and our interventions are regularly adapted and replicated by governments and NGOs in new countries and cont</w:t>
            </w:r>
            <w:r w:rsidR="001621AB" w:rsidRPr="008B12C2">
              <w:rPr>
                <w:rFonts w:cs="Calibri"/>
                <w:color w:val="auto"/>
                <w:sz w:val="24"/>
                <w:szCs w:val="24"/>
                <w:lang w:val="en-US"/>
              </w:rPr>
              <w:t>exts</w:t>
            </w:r>
            <w:r w:rsidR="00EA1B22" w:rsidRPr="008B12C2">
              <w:rPr>
                <w:rFonts w:cs="Calibri"/>
                <w:color w:val="auto"/>
                <w:sz w:val="24"/>
                <w:szCs w:val="24"/>
                <w:lang w:val="en-US"/>
              </w:rPr>
              <w:t xml:space="preserve">. </w:t>
            </w:r>
            <w:r w:rsidR="001621AB" w:rsidRPr="008B12C2">
              <w:rPr>
                <w:rFonts w:cs="Calibri"/>
                <w:color w:val="auto"/>
                <w:sz w:val="24"/>
                <w:szCs w:val="24"/>
                <w:lang w:val="en-US"/>
              </w:rPr>
              <w:t>LE</w:t>
            </w:r>
            <w:r w:rsidR="00EA1B22" w:rsidRPr="008B12C2">
              <w:rPr>
                <w:rFonts w:cs="Calibri"/>
                <w:color w:val="auto"/>
                <w:sz w:val="24"/>
                <w:szCs w:val="24"/>
                <w:lang w:val="en-US"/>
              </w:rPr>
              <w:t>I</w:t>
            </w:r>
            <w:r w:rsidR="004A7F5D" w:rsidRPr="008B12C2">
              <w:rPr>
                <w:rFonts w:cs="Calibri"/>
                <w:color w:val="auto"/>
                <w:sz w:val="24"/>
                <w:szCs w:val="24"/>
                <w:lang w:val="en-US"/>
              </w:rPr>
              <w:t xml:space="preserve">, based in Edinburgh – </w:t>
            </w:r>
            <w:r w:rsidRPr="008B12C2">
              <w:rPr>
                <w:rFonts w:cs="Calibri"/>
                <w:color w:val="auto"/>
                <w:sz w:val="24"/>
                <w:szCs w:val="24"/>
                <w:lang w:val="en-US"/>
              </w:rPr>
              <w:t>Scotland</w:t>
            </w:r>
            <w:r w:rsidR="004A7F5D" w:rsidRPr="008B12C2">
              <w:rPr>
                <w:rFonts w:cs="Calibri"/>
                <w:color w:val="auto"/>
                <w:sz w:val="24"/>
                <w:szCs w:val="24"/>
                <w:lang w:val="en-US"/>
              </w:rPr>
              <w:t>,</w:t>
            </w:r>
            <w:r w:rsidRPr="008B12C2">
              <w:rPr>
                <w:rFonts w:cs="Calibri"/>
                <w:color w:val="auto"/>
                <w:sz w:val="24"/>
                <w:szCs w:val="24"/>
                <w:lang w:val="en-US"/>
              </w:rPr>
              <w:t xml:space="preserve"> supports all project, M&amp;E, fundraising, finance and g</w:t>
            </w:r>
            <w:r w:rsidR="001621AB" w:rsidRPr="008B12C2">
              <w:rPr>
                <w:rFonts w:cs="Calibri"/>
                <w:color w:val="auto"/>
                <w:sz w:val="24"/>
                <w:szCs w:val="24"/>
                <w:lang w:val="en-US"/>
              </w:rPr>
              <w:t>overnance activities in our four</w:t>
            </w:r>
            <w:r w:rsidRPr="008B12C2">
              <w:rPr>
                <w:rFonts w:cs="Calibri"/>
                <w:color w:val="auto"/>
                <w:sz w:val="24"/>
                <w:szCs w:val="24"/>
                <w:lang w:val="en-US"/>
              </w:rPr>
              <w:t xml:space="preserve"> sub-Saharan partner countries.</w:t>
            </w:r>
          </w:p>
        </w:tc>
      </w:tr>
      <w:tr w:rsidR="008B12C2" w:rsidRPr="008B12C2" w:rsidTr="008F33A7">
        <w:trPr>
          <w:trHeight w:val="389"/>
          <w:jc w:val="center"/>
        </w:trPr>
        <w:tc>
          <w:tcPr>
            <w:tcW w:w="10490" w:type="dxa"/>
            <w:tcBorders>
              <w:top w:val="single" w:sz="24" w:space="0" w:color="000000"/>
              <w:left w:val="nil"/>
              <w:bottom w:val="single" w:sz="24" w:space="0" w:color="000000"/>
              <w:right w:val="nil"/>
            </w:tcBorders>
            <w:shd w:val="clear" w:color="auto" w:fill="auto"/>
            <w:tcMar>
              <w:top w:w="80" w:type="dxa"/>
              <w:left w:w="80" w:type="dxa"/>
              <w:bottom w:w="80" w:type="dxa"/>
              <w:right w:w="80" w:type="dxa"/>
            </w:tcMar>
          </w:tcPr>
          <w:p w:rsidR="007B148B" w:rsidRPr="008B12C2" w:rsidRDefault="00555486">
            <w:pPr>
              <w:pStyle w:val="Body"/>
              <w:rPr>
                <w:rFonts w:cs="Calibri"/>
                <w:color w:val="auto"/>
              </w:rPr>
            </w:pPr>
            <w:r w:rsidRPr="008B12C2">
              <w:rPr>
                <w:rFonts w:cs="Calibri"/>
                <w:b/>
                <w:bCs/>
                <w:color w:val="auto"/>
                <w:sz w:val="32"/>
                <w:szCs w:val="32"/>
                <w:lang w:val="en-US"/>
              </w:rPr>
              <w:t>JOB PURPOSE</w:t>
            </w:r>
          </w:p>
        </w:tc>
      </w:tr>
      <w:tr w:rsidR="008B12C2" w:rsidRPr="008B12C2" w:rsidTr="00D60998">
        <w:trPr>
          <w:trHeight w:val="297"/>
          <w:jc w:val="center"/>
        </w:trPr>
        <w:tc>
          <w:tcPr>
            <w:tcW w:w="10490" w:type="dxa"/>
            <w:tcBorders>
              <w:top w:val="single" w:sz="24" w:space="0" w:color="000000"/>
              <w:left w:val="nil"/>
              <w:bottom w:val="single" w:sz="24" w:space="0" w:color="000000"/>
              <w:right w:val="nil"/>
            </w:tcBorders>
            <w:shd w:val="clear" w:color="auto" w:fill="auto"/>
            <w:tcMar>
              <w:top w:w="80" w:type="dxa"/>
              <w:left w:w="80" w:type="dxa"/>
              <w:bottom w:w="80" w:type="dxa"/>
              <w:right w:w="80" w:type="dxa"/>
            </w:tcMar>
          </w:tcPr>
          <w:p w:rsidR="00482FA6" w:rsidRPr="008B12C2" w:rsidRDefault="00482FA6" w:rsidP="00482FA6">
            <w:pPr>
              <w:pStyle w:val="Body"/>
              <w:spacing w:after="240" w:line="240" w:lineRule="auto"/>
              <w:jc w:val="both"/>
              <w:rPr>
                <w:rFonts w:cs="Calibri"/>
                <w:color w:val="auto"/>
                <w:sz w:val="24"/>
                <w:szCs w:val="24"/>
              </w:rPr>
            </w:pPr>
            <w:r w:rsidRPr="008B12C2">
              <w:rPr>
                <w:rFonts w:cs="Calibri"/>
                <w:color w:val="auto"/>
                <w:sz w:val="24"/>
                <w:szCs w:val="24"/>
              </w:rPr>
              <w:t xml:space="preserve">With funds from the </w:t>
            </w:r>
            <w:r w:rsidRPr="008B12C2">
              <w:rPr>
                <w:rFonts w:cs="Calibri"/>
                <w:i/>
                <w:color w:val="auto"/>
                <w:sz w:val="24"/>
                <w:szCs w:val="24"/>
              </w:rPr>
              <w:t>Boeing Company</w:t>
            </w:r>
            <w:r w:rsidRPr="008B12C2">
              <w:rPr>
                <w:rFonts w:cs="Calibri"/>
                <w:color w:val="auto"/>
                <w:sz w:val="24"/>
                <w:szCs w:val="24"/>
              </w:rPr>
              <w:t>—</w:t>
            </w:r>
            <w:r w:rsidRPr="008B12C2">
              <w:rPr>
                <w:rFonts w:cs="Calibri"/>
                <w:color w:val="auto"/>
                <w:sz w:val="24"/>
                <w:szCs w:val="24"/>
                <w:lang w:val="en-US"/>
              </w:rPr>
              <w:t>which supports projects which focus on Science, Technology, Engineering and Mathematics (STEM)—</w:t>
            </w:r>
            <w:r w:rsidRPr="008B12C2">
              <w:rPr>
                <w:rFonts w:cs="Calibri"/>
                <w:color w:val="auto"/>
                <w:sz w:val="24"/>
                <w:szCs w:val="24"/>
              </w:rPr>
              <w:t xml:space="preserve">the </w:t>
            </w:r>
            <w:r w:rsidRPr="008B12C2">
              <w:rPr>
                <w:rFonts w:cs="Calibri"/>
                <w:b/>
                <w:color w:val="auto"/>
                <w:sz w:val="24"/>
                <w:szCs w:val="24"/>
                <w:lang w:val="en-US"/>
              </w:rPr>
              <w:t>Teacher Training, Gender &amp; Inclusion – Lead Consultant</w:t>
            </w:r>
            <w:r w:rsidRPr="008B12C2">
              <w:rPr>
                <w:rFonts w:cs="Calibri"/>
                <w:color w:val="auto"/>
                <w:sz w:val="24"/>
                <w:szCs w:val="24"/>
              </w:rPr>
              <w:t xml:space="preserve"> will work closely with an Ethiopian numeracy and curriculum specialist to develop materials which focus on the most foundational numeracy topics and skills and best-practice methodologies to teach these in low-resource school settings.  The consultants will work in tandem, and with the LCDE team to develop materials for the training of teachers who teach numeracy, including those who are identified as ‘tutors’ and who work with girls struggling academically.  They will use these materials to also develop a capacity building programme to comprise a two-day training delivered by local trainers, and follow-up activities to be delivered by school leaders and Cluster Supervisors.  </w:t>
            </w:r>
          </w:p>
          <w:p w:rsidR="00482FA6" w:rsidRPr="008B12C2" w:rsidRDefault="00482FA6" w:rsidP="00482FA6">
            <w:pPr>
              <w:pStyle w:val="Body"/>
              <w:spacing w:after="240" w:line="240" w:lineRule="auto"/>
              <w:jc w:val="both"/>
              <w:rPr>
                <w:rFonts w:cs="Calibri"/>
                <w:color w:val="auto"/>
                <w:sz w:val="24"/>
                <w:szCs w:val="24"/>
              </w:rPr>
            </w:pPr>
            <w:r w:rsidRPr="008B12C2">
              <w:rPr>
                <w:rFonts w:cs="Calibri"/>
                <w:color w:val="auto"/>
                <w:sz w:val="24"/>
                <w:szCs w:val="24"/>
              </w:rPr>
              <w:t>The materials will have a largely methodology focus, encompassing examples from a variety of grades, but will also init</w:t>
            </w:r>
            <w:r w:rsidR="00183035" w:rsidRPr="008B12C2">
              <w:rPr>
                <w:rFonts w:cs="Calibri"/>
                <w:color w:val="auto"/>
                <w:sz w:val="24"/>
                <w:szCs w:val="24"/>
              </w:rPr>
              <w:t>ially collect information from t</w:t>
            </w:r>
            <w:r w:rsidRPr="008B12C2">
              <w:rPr>
                <w:rFonts w:cs="Calibri"/>
                <w:color w:val="auto"/>
                <w:sz w:val="24"/>
                <w:szCs w:val="24"/>
              </w:rPr>
              <w:t>utors on the numeracy areas which are commonly the weakest for girls, to supplement baseline data (2019).  They will take a detailed ‘scripted’ approach to ensure a common standard of training content and delivery.</w:t>
            </w:r>
            <w:r w:rsidR="00183035" w:rsidRPr="008B12C2">
              <w:rPr>
                <w:rFonts w:cs="Calibri"/>
                <w:color w:val="auto"/>
                <w:sz w:val="24"/>
                <w:szCs w:val="24"/>
              </w:rPr>
              <w:t xml:space="preserve"> </w:t>
            </w:r>
            <w:r w:rsidRPr="008B12C2">
              <w:rPr>
                <w:rFonts w:cs="Calibri"/>
                <w:color w:val="auto"/>
                <w:sz w:val="24"/>
                <w:szCs w:val="24"/>
              </w:rPr>
              <w:t>The consultancy and training materials developed will take a problem-solving approach, based on current evidence that teacher development has to happen in response to real challenges in local contexts, and has to start with teachers sharing their own knowledge, experience and strategies for teaching well, with identified gaps being filled with learning from best-practice. Consultancy activities will include consultation and information gathering from local staff, supervisors and teachers.</w:t>
            </w:r>
          </w:p>
          <w:p w:rsidR="00482FA6" w:rsidRPr="008B12C2" w:rsidRDefault="00183035" w:rsidP="007255CB">
            <w:pPr>
              <w:pStyle w:val="Body"/>
              <w:spacing w:after="240" w:line="240" w:lineRule="auto"/>
              <w:jc w:val="both"/>
              <w:rPr>
                <w:rFonts w:cs="Calibri"/>
                <w:color w:val="auto"/>
                <w:sz w:val="24"/>
                <w:szCs w:val="24"/>
              </w:rPr>
            </w:pPr>
            <w:r w:rsidRPr="008B12C2">
              <w:rPr>
                <w:rFonts w:cs="Calibri"/>
                <w:color w:val="auto"/>
                <w:sz w:val="24"/>
                <w:szCs w:val="24"/>
              </w:rPr>
              <w:t xml:space="preserve">The Boeing funds </w:t>
            </w:r>
            <w:r w:rsidR="00482FA6" w:rsidRPr="008B12C2">
              <w:rPr>
                <w:rFonts w:cs="Calibri"/>
                <w:color w:val="auto"/>
                <w:sz w:val="24"/>
                <w:szCs w:val="24"/>
              </w:rPr>
              <w:t>also provides for the provision of story-books to school libraries to support girls’ literacy in a time when they have missed months of their education.  The Consultant will provide support to the selection of reading materials which are relevant to context and language.</w:t>
            </w:r>
          </w:p>
          <w:p w:rsidR="00482FA6" w:rsidRPr="008B12C2" w:rsidRDefault="00482FA6" w:rsidP="007255CB">
            <w:pPr>
              <w:pStyle w:val="Body"/>
              <w:spacing w:after="240" w:line="240" w:lineRule="auto"/>
              <w:jc w:val="both"/>
              <w:rPr>
                <w:rFonts w:cs="Calibri"/>
                <w:color w:val="auto"/>
                <w:sz w:val="24"/>
                <w:szCs w:val="24"/>
                <w:lang w:val="en-US"/>
              </w:rPr>
            </w:pPr>
          </w:p>
          <w:p w:rsidR="00482FA6" w:rsidRPr="008B12C2" w:rsidRDefault="00482FA6" w:rsidP="007255CB">
            <w:pPr>
              <w:pStyle w:val="Body"/>
              <w:spacing w:after="240" w:line="240" w:lineRule="auto"/>
              <w:jc w:val="both"/>
              <w:rPr>
                <w:rFonts w:cs="Calibri"/>
                <w:color w:val="auto"/>
                <w:sz w:val="24"/>
                <w:szCs w:val="24"/>
                <w:lang w:val="en-US"/>
              </w:rPr>
            </w:pPr>
          </w:p>
        </w:tc>
      </w:tr>
      <w:tr w:rsidR="007B148B" w:rsidRPr="008B12C2" w:rsidTr="00D60998">
        <w:trPr>
          <w:trHeight w:val="389"/>
          <w:jc w:val="center"/>
        </w:trPr>
        <w:tc>
          <w:tcPr>
            <w:tcW w:w="10490" w:type="dxa"/>
            <w:tcBorders>
              <w:top w:val="single" w:sz="24" w:space="0" w:color="000000"/>
              <w:left w:val="nil"/>
              <w:bottom w:val="single" w:sz="24" w:space="0" w:color="000000"/>
              <w:right w:val="nil"/>
            </w:tcBorders>
            <w:shd w:val="clear" w:color="auto" w:fill="auto"/>
            <w:tcMar>
              <w:top w:w="80" w:type="dxa"/>
              <w:left w:w="80" w:type="dxa"/>
              <w:bottom w:w="80" w:type="dxa"/>
              <w:right w:w="80" w:type="dxa"/>
            </w:tcMar>
            <w:vAlign w:val="center"/>
          </w:tcPr>
          <w:p w:rsidR="007B148B" w:rsidRPr="008B12C2" w:rsidRDefault="00555486">
            <w:pPr>
              <w:pStyle w:val="Body"/>
              <w:spacing w:line="240" w:lineRule="auto"/>
              <w:rPr>
                <w:rFonts w:cs="Calibri"/>
                <w:color w:val="auto"/>
              </w:rPr>
            </w:pPr>
            <w:r w:rsidRPr="008B12C2">
              <w:rPr>
                <w:rFonts w:cs="Calibri"/>
                <w:b/>
                <w:bCs/>
                <w:color w:val="auto"/>
                <w:sz w:val="32"/>
                <w:szCs w:val="32"/>
                <w:lang w:val="en-US"/>
              </w:rPr>
              <w:lastRenderedPageBreak/>
              <w:t>INDICATIVE AREAS OF KEY RESPONSIBILITIES</w:t>
            </w:r>
            <w:r w:rsidR="003C6BC2" w:rsidRPr="008B12C2">
              <w:rPr>
                <w:rFonts w:cs="Calibri"/>
                <w:b/>
                <w:bCs/>
                <w:color w:val="auto"/>
                <w:sz w:val="32"/>
                <w:szCs w:val="32"/>
                <w:lang w:val="en-US"/>
              </w:rPr>
              <w:t xml:space="preserve"> </w:t>
            </w:r>
          </w:p>
        </w:tc>
      </w:tr>
    </w:tbl>
    <w:p w:rsidR="00B9683D" w:rsidRPr="008B12C2" w:rsidRDefault="00B9683D" w:rsidP="00B9683D">
      <w:pPr>
        <w:pStyle w:val="Header"/>
        <w:widowControl w:val="0"/>
        <w:pBdr>
          <w:bottom w:val="none" w:sz="0" w:space="0" w:color="auto"/>
        </w:pBdr>
        <w:ind w:left="720"/>
        <w:rPr>
          <w:color w:val="auto"/>
          <w:sz w:val="24"/>
          <w:szCs w:val="24"/>
        </w:rPr>
      </w:pPr>
    </w:p>
    <w:p w:rsidR="00183035" w:rsidRPr="008B12C2" w:rsidRDefault="00183035" w:rsidP="00183035">
      <w:pPr>
        <w:pStyle w:val="Header"/>
        <w:widowControl w:val="0"/>
        <w:numPr>
          <w:ilvl w:val="0"/>
          <w:numId w:val="23"/>
        </w:numPr>
        <w:jc w:val="both"/>
        <w:rPr>
          <w:color w:val="auto"/>
          <w:sz w:val="24"/>
          <w:szCs w:val="24"/>
          <w:lang w:val="en-GB"/>
        </w:rPr>
      </w:pPr>
      <w:r w:rsidRPr="008B12C2">
        <w:rPr>
          <w:color w:val="auto"/>
          <w:sz w:val="24"/>
          <w:szCs w:val="24"/>
          <w:lang w:val="en-GB"/>
        </w:rPr>
        <w:t>Lead on the development of numeracy training materials for teachers, working closely with the Link Ethiopia team and a national numeracy and curriculum specialist</w:t>
      </w:r>
    </w:p>
    <w:p w:rsidR="00183035" w:rsidRPr="008B12C2" w:rsidRDefault="00183035" w:rsidP="00183035">
      <w:pPr>
        <w:pStyle w:val="Header"/>
        <w:widowControl w:val="0"/>
        <w:numPr>
          <w:ilvl w:val="0"/>
          <w:numId w:val="23"/>
        </w:numPr>
        <w:jc w:val="both"/>
        <w:rPr>
          <w:color w:val="auto"/>
          <w:sz w:val="24"/>
          <w:szCs w:val="24"/>
          <w:lang w:val="en-GB"/>
        </w:rPr>
      </w:pPr>
      <w:r w:rsidRPr="008B12C2">
        <w:rPr>
          <w:color w:val="auto"/>
          <w:sz w:val="24"/>
          <w:szCs w:val="24"/>
          <w:lang w:val="en-GB"/>
        </w:rPr>
        <w:t xml:space="preserve">Work with the national specialist, the Link Ethiopia team (and through them, key project partners) to review existing evidence of the gaps and strengths in numeracy teaching, including the STAGES baseline report and the training needs assessment conducted in 2020. </w:t>
      </w:r>
    </w:p>
    <w:p w:rsidR="00AF0874" w:rsidRPr="008B12C2" w:rsidRDefault="00AF0874" w:rsidP="00AF0874">
      <w:pPr>
        <w:pStyle w:val="Header"/>
        <w:widowControl w:val="0"/>
        <w:numPr>
          <w:ilvl w:val="0"/>
          <w:numId w:val="23"/>
        </w:numPr>
        <w:jc w:val="both"/>
        <w:rPr>
          <w:color w:val="auto"/>
          <w:sz w:val="24"/>
          <w:szCs w:val="24"/>
          <w:lang w:val="en-GB"/>
        </w:rPr>
      </w:pPr>
      <w:r w:rsidRPr="008B12C2">
        <w:rPr>
          <w:color w:val="auto"/>
          <w:sz w:val="24"/>
          <w:szCs w:val="24"/>
          <w:lang w:val="en-GB"/>
        </w:rPr>
        <w:t>Wo</w:t>
      </w:r>
      <w:r w:rsidR="00AB7DDD" w:rsidRPr="008B12C2">
        <w:rPr>
          <w:color w:val="auto"/>
          <w:sz w:val="24"/>
          <w:szCs w:val="24"/>
          <w:lang w:val="en-GB"/>
        </w:rPr>
        <w:t>rk with the national specialist</w:t>
      </w:r>
      <w:r w:rsidRPr="008B12C2">
        <w:rPr>
          <w:color w:val="auto"/>
          <w:sz w:val="24"/>
          <w:szCs w:val="24"/>
          <w:lang w:val="en-GB"/>
        </w:rPr>
        <w:t>:</w:t>
      </w:r>
    </w:p>
    <w:p w:rsidR="00AF0874" w:rsidRPr="008B12C2" w:rsidRDefault="00AF0874" w:rsidP="00AF0874">
      <w:pPr>
        <w:pStyle w:val="Header"/>
        <w:widowControl w:val="0"/>
        <w:numPr>
          <w:ilvl w:val="1"/>
          <w:numId w:val="23"/>
        </w:numPr>
        <w:jc w:val="both"/>
        <w:rPr>
          <w:color w:val="auto"/>
          <w:sz w:val="24"/>
          <w:szCs w:val="24"/>
          <w:lang w:val="en-GB"/>
        </w:rPr>
      </w:pPr>
      <w:r w:rsidRPr="008B12C2">
        <w:rPr>
          <w:color w:val="auto"/>
          <w:sz w:val="24"/>
          <w:szCs w:val="24"/>
          <w:lang w:val="en-GB"/>
        </w:rPr>
        <w:t xml:space="preserve">to ensure that sufficient participatory methodology and practice activities are core to the training. </w:t>
      </w:r>
    </w:p>
    <w:p w:rsidR="00AF0874" w:rsidRPr="008B12C2" w:rsidRDefault="00AF0874" w:rsidP="00AF0874">
      <w:pPr>
        <w:pStyle w:val="Header"/>
        <w:widowControl w:val="0"/>
        <w:numPr>
          <w:ilvl w:val="1"/>
          <w:numId w:val="23"/>
        </w:numPr>
        <w:jc w:val="both"/>
        <w:rPr>
          <w:color w:val="auto"/>
          <w:sz w:val="24"/>
          <w:szCs w:val="24"/>
          <w:lang w:val="en-GB"/>
        </w:rPr>
      </w:pPr>
      <w:r w:rsidRPr="008B12C2">
        <w:rPr>
          <w:color w:val="auto"/>
          <w:sz w:val="24"/>
          <w:szCs w:val="24"/>
          <w:lang w:val="en-GB"/>
        </w:rPr>
        <w:t>to engage a few of the ‘best’ maths teacher in the region to review and provide input to the knowledge sessions</w:t>
      </w:r>
    </w:p>
    <w:p w:rsidR="00AF0874" w:rsidRPr="008B12C2" w:rsidRDefault="00AF0874" w:rsidP="00AF0874">
      <w:pPr>
        <w:pStyle w:val="Header"/>
        <w:widowControl w:val="0"/>
        <w:numPr>
          <w:ilvl w:val="1"/>
          <w:numId w:val="23"/>
        </w:numPr>
        <w:jc w:val="both"/>
        <w:rPr>
          <w:color w:val="auto"/>
          <w:sz w:val="24"/>
          <w:szCs w:val="24"/>
          <w:lang w:val="en-GB"/>
        </w:rPr>
      </w:pPr>
      <w:r w:rsidRPr="008B12C2">
        <w:rPr>
          <w:color w:val="auto"/>
          <w:sz w:val="24"/>
          <w:szCs w:val="24"/>
          <w:lang w:val="en-GB"/>
        </w:rPr>
        <w:t>to develop materials for the next workshop based on issues raised and learning from the first one, so that the approach is process-driven and problem-solving</w:t>
      </w:r>
    </w:p>
    <w:p w:rsidR="00183035" w:rsidRPr="008B12C2" w:rsidRDefault="00183035" w:rsidP="00183035">
      <w:pPr>
        <w:pStyle w:val="Header"/>
        <w:widowControl w:val="0"/>
        <w:numPr>
          <w:ilvl w:val="0"/>
          <w:numId w:val="23"/>
        </w:numPr>
        <w:jc w:val="both"/>
        <w:rPr>
          <w:color w:val="auto"/>
          <w:sz w:val="24"/>
          <w:szCs w:val="24"/>
          <w:lang w:val="en-GB"/>
        </w:rPr>
      </w:pPr>
      <w:r w:rsidRPr="008B12C2">
        <w:rPr>
          <w:color w:val="auto"/>
          <w:sz w:val="24"/>
          <w:szCs w:val="24"/>
          <w:lang w:val="en-GB"/>
        </w:rPr>
        <w:t>Direct Cluster Supervisors to undertake and analyse a small information collection exercise with remedial tutors, to identify which areas of numeracy girls in tutorial classes most commonly struggle with.</w:t>
      </w:r>
    </w:p>
    <w:p w:rsidR="00183035" w:rsidRPr="008B12C2" w:rsidRDefault="00183035" w:rsidP="00183035">
      <w:pPr>
        <w:pStyle w:val="Header"/>
        <w:widowControl w:val="0"/>
        <w:numPr>
          <w:ilvl w:val="0"/>
          <w:numId w:val="23"/>
        </w:numPr>
        <w:jc w:val="both"/>
        <w:rPr>
          <w:color w:val="auto"/>
          <w:sz w:val="24"/>
          <w:szCs w:val="24"/>
          <w:lang w:val="en-GB"/>
        </w:rPr>
      </w:pPr>
      <w:r w:rsidRPr="008B12C2">
        <w:rPr>
          <w:color w:val="auto"/>
          <w:sz w:val="24"/>
          <w:szCs w:val="24"/>
          <w:lang w:val="en-GB"/>
        </w:rPr>
        <w:t xml:space="preserve">Produce a template workshop training plan (for delivery every 6 months or annually at a minimum), with scripted elements as necessary, which could be used repeatedly year on year to end of project. </w:t>
      </w:r>
    </w:p>
    <w:p w:rsidR="00183035" w:rsidRPr="008B12C2" w:rsidRDefault="00183035" w:rsidP="00183035">
      <w:pPr>
        <w:pStyle w:val="Header"/>
        <w:widowControl w:val="0"/>
        <w:numPr>
          <w:ilvl w:val="0"/>
          <w:numId w:val="23"/>
        </w:numPr>
        <w:jc w:val="both"/>
        <w:rPr>
          <w:color w:val="auto"/>
          <w:sz w:val="24"/>
          <w:szCs w:val="24"/>
          <w:lang w:val="en-GB"/>
        </w:rPr>
      </w:pPr>
      <w:r w:rsidRPr="008B12C2">
        <w:rPr>
          <w:color w:val="auto"/>
          <w:sz w:val="24"/>
          <w:szCs w:val="24"/>
          <w:lang w:val="en-GB"/>
        </w:rPr>
        <w:t>Work closely with local numeracy and curriculum expert to produce ‘knowledge sessions’ which can be inserted into the above template to give teachers technical understanding and specific strategies in response to the issues which come up</w:t>
      </w:r>
    </w:p>
    <w:p w:rsidR="00183035" w:rsidRPr="008B12C2" w:rsidRDefault="00AF0874" w:rsidP="00AF0874">
      <w:pPr>
        <w:pStyle w:val="Header"/>
        <w:widowControl w:val="0"/>
        <w:numPr>
          <w:ilvl w:val="0"/>
          <w:numId w:val="23"/>
        </w:numPr>
        <w:jc w:val="both"/>
        <w:rPr>
          <w:color w:val="auto"/>
          <w:sz w:val="24"/>
          <w:szCs w:val="24"/>
          <w:lang w:val="en-GB"/>
        </w:rPr>
      </w:pPr>
      <w:r w:rsidRPr="008B12C2">
        <w:rPr>
          <w:color w:val="auto"/>
          <w:sz w:val="24"/>
          <w:szCs w:val="24"/>
          <w:lang w:val="en-GB"/>
        </w:rPr>
        <w:t>Ensure that gender</w:t>
      </w:r>
      <w:r w:rsidR="00183035" w:rsidRPr="008B12C2">
        <w:rPr>
          <w:color w:val="auto"/>
          <w:sz w:val="24"/>
          <w:szCs w:val="24"/>
          <w:lang w:val="en-GB"/>
        </w:rPr>
        <w:t xml:space="preserve"> </w:t>
      </w:r>
      <w:r w:rsidRPr="008B12C2">
        <w:rPr>
          <w:color w:val="auto"/>
          <w:sz w:val="24"/>
          <w:szCs w:val="24"/>
          <w:lang w:val="en-GB"/>
        </w:rPr>
        <w:t xml:space="preserve">&amp; </w:t>
      </w:r>
      <w:r w:rsidR="00183035" w:rsidRPr="008B12C2">
        <w:rPr>
          <w:color w:val="auto"/>
          <w:sz w:val="24"/>
          <w:szCs w:val="24"/>
          <w:lang w:val="en-GB"/>
        </w:rPr>
        <w:t>inclusion, a social and emotional learning, and safeguarding approach is embedded throughout the materials, providing teachers with a range of activities, including use of TALLULAR, to reach all students in the classroom</w:t>
      </w:r>
    </w:p>
    <w:p w:rsidR="00183035" w:rsidRPr="008B12C2" w:rsidRDefault="00183035" w:rsidP="00183035">
      <w:pPr>
        <w:pStyle w:val="Header"/>
        <w:widowControl w:val="0"/>
        <w:numPr>
          <w:ilvl w:val="0"/>
          <w:numId w:val="23"/>
        </w:numPr>
        <w:jc w:val="both"/>
        <w:rPr>
          <w:color w:val="auto"/>
          <w:sz w:val="24"/>
          <w:szCs w:val="24"/>
          <w:lang w:val="en-GB"/>
        </w:rPr>
      </w:pPr>
      <w:r w:rsidRPr="008B12C2">
        <w:rPr>
          <w:color w:val="auto"/>
          <w:sz w:val="24"/>
          <w:szCs w:val="24"/>
          <w:lang w:val="en-GB"/>
        </w:rPr>
        <w:t>Based on an understanding of context, language and curriculum support the selection of appropriate literacy materials /books to support girls reading and literacy.</w:t>
      </w:r>
    </w:p>
    <w:p w:rsidR="00133838" w:rsidRPr="008B12C2" w:rsidRDefault="00133838" w:rsidP="000D70A4">
      <w:pPr>
        <w:pStyle w:val="Header"/>
        <w:widowControl w:val="0"/>
        <w:pBdr>
          <w:bottom w:val="none" w:sz="0" w:space="0" w:color="auto"/>
        </w:pBdr>
        <w:rPr>
          <w:color w:val="auto"/>
          <w:sz w:val="24"/>
          <w:szCs w:val="24"/>
        </w:rPr>
      </w:pPr>
    </w:p>
    <w:tbl>
      <w:tblPr>
        <w:tblW w:w="10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90"/>
      </w:tblGrid>
      <w:tr w:rsidR="008B12C2" w:rsidRPr="008B12C2" w:rsidTr="00BB44BE">
        <w:trPr>
          <w:trHeight w:val="389"/>
          <w:jc w:val="center"/>
        </w:trPr>
        <w:tc>
          <w:tcPr>
            <w:tcW w:w="10490" w:type="dxa"/>
            <w:tcBorders>
              <w:top w:val="single" w:sz="24" w:space="0" w:color="000000"/>
              <w:left w:val="nil"/>
              <w:bottom w:val="single" w:sz="24" w:space="0" w:color="000000"/>
              <w:right w:val="nil"/>
            </w:tcBorders>
            <w:shd w:val="clear" w:color="auto" w:fill="auto"/>
            <w:tcMar>
              <w:top w:w="80" w:type="dxa"/>
              <w:left w:w="80" w:type="dxa"/>
              <w:bottom w:w="80" w:type="dxa"/>
              <w:right w:w="80" w:type="dxa"/>
            </w:tcMar>
          </w:tcPr>
          <w:p w:rsidR="003C6BC2" w:rsidRPr="008B12C2" w:rsidRDefault="003C6BC2" w:rsidP="003C6BC2">
            <w:pPr>
              <w:pStyle w:val="Header"/>
              <w:widowControl w:val="0"/>
              <w:pBdr>
                <w:bottom w:val="none" w:sz="0" w:space="0" w:color="auto"/>
              </w:pBdr>
              <w:rPr>
                <w:color w:val="auto"/>
              </w:rPr>
            </w:pPr>
            <w:r w:rsidRPr="008B12C2">
              <w:rPr>
                <w:b/>
                <w:color w:val="auto"/>
                <w:sz w:val="32"/>
                <w:szCs w:val="32"/>
              </w:rPr>
              <w:t>PERSON SPECIFICATION</w:t>
            </w:r>
          </w:p>
        </w:tc>
      </w:tr>
    </w:tbl>
    <w:p w:rsidR="003C6BC2" w:rsidRPr="008B12C2" w:rsidRDefault="003C6BC2" w:rsidP="003C6BC2">
      <w:pPr>
        <w:pStyle w:val="Header"/>
        <w:widowControl w:val="0"/>
        <w:pBdr>
          <w:bottom w:val="none" w:sz="0" w:space="0" w:color="auto"/>
        </w:pBdr>
        <w:spacing w:before="240" w:after="240"/>
        <w:rPr>
          <w:b/>
          <w:color w:val="auto"/>
          <w:sz w:val="32"/>
          <w:szCs w:val="32"/>
        </w:rPr>
      </w:pPr>
      <w:r w:rsidRPr="008B12C2">
        <w:rPr>
          <w:b/>
          <w:color w:val="auto"/>
          <w:sz w:val="32"/>
          <w:szCs w:val="32"/>
        </w:rPr>
        <w:t>EXPERIENCE AND QUALIFICATIONS</w:t>
      </w:r>
    </w:p>
    <w:p w:rsidR="003C6BC2" w:rsidRPr="008B12C2" w:rsidRDefault="003C6BC2" w:rsidP="003C6BC2">
      <w:pPr>
        <w:pStyle w:val="Header"/>
        <w:widowControl w:val="0"/>
        <w:rPr>
          <w:b/>
          <w:i/>
          <w:color w:val="auto"/>
          <w:sz w:val="24"/>
          <w:szCs w:val="24"/>
        </w:rPr>
      </w:pPr>
      <w:r w:rsidRPr="008B12C2">
        <w:rPr>
          <w:b/>
          <w:i/>
          <w:color w:val="auto"/>
          <w:sz w:val="24"/>
          <w:szCs w:val="24"/>
        </w:rPr>
        <w:t>Essential</w:t>
      </w:r>
    </w:p>
    <w:p w:rsidR="00133838" w:rsidRPr="008B12C2" w:rsidRDefault="00133838" w:rsidP="003C6BC2">
      <w:pPr>
        <w:pStyle w:val="Header"/>
        <w:widowControl w:val="0"/>
        <w:rPr>
          <w:b/>
          <w:i/>
          <w:color w:val="auto"/>
          <w:sz w:val="24"/>
          <w:szCs w:val="24"/>
        </w:rPr>
      </w:pPr>
    </w:p>
    <w:p w:rsidR="008804BA" w:rsidRPr="008B12C2" w:rsidRDefault="008804BA" w:rsidP="00094025">
      <w:pPr>
        <w:pStyle w:val="Heade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color w:val="auto"/>
          <w:sz w:val="24"/>
          <w:szCs w:val="24"/>
        </w:rPr>
      </w:pPr>
      <w:r w:rsidRPr="008B12C2">
        <w:rPr>
          <w:color w:val="auto"/>
          <w:sz w:val="24"/>
          <w:szCs w:val="24"/>
        </w:rPr>
        <w:t>A Master’s degree, preferably in education, international development, public policy, or a related fie</w:t>
      </w:r>
      <w:r w:rsidR="00AB7DDD" w:rsidRPr="008B12C2">
        <w:rPr>
          <w:color w:val="auto"/>
          <w:sz w:val="24"/>
          <w:szCs w:val="24"/>
        </w:rPr>
        <w:t>ld;</w:t>
      </w:r>
    </w:p>
    <w:p w:rsidR="008804BA" w:rsidRPr="008B12C2" w:rsidRDefault="008804BA" w:rsidP="00094025">
      <w:pPr>
        <w:pStyle w:val="Heade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color w:val="auto"/>
          <w:sz w:val="24"/>
          <w:szCs w:val="24"/>
        </w:rPr>
      </w:pPr>
      <w:r w:rsidRPr="008B12C2">
        <w:rPr>
          <w:color w:val="auto"/>
          <w:sz w:val="24"/>
          <w:szCs w:val="24"/>
        </w:rPr>
        <w:t xml:space="preserve">At least 7 years of relevant work experience; </w:t>
      </w:r>
    </w:p>
    <w:p w:rsidR="008804BA" w:rsidRPr="008B12C2" w:rsidRDefault="008804BA" w:rsidP="008804BA">
      <w:pPr>
        <w:pStyle w:val="Heade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color w:val="auto"/>
          <w:sz w:val="24"/>
          <w:szCs w:val="24"/>
        </w:rPr>
      </w:pPr>
      <w:r w:rsidRPr="008B12C2">
        <w:rPr>
          <w:color w:val="auto"/>
          <w:sz w:val="24"/>
          <w:szCs w:val="24"/>
        </w:rPr>
        <w:t>At least 3 years int</w:t>
      </w:r>
      <w:r w:rsidR="00AB7DDD" w:rsidRPr="008B12C2">
        <w:rPr>
          <w:color w:val="auto"/>
          <w:sz w:val="24"/>
          <w:szCs w:val="24"/>
        </w:rPr>
        <w:t>ernational working</w:t>
      </w:r>
      <w:r w:rsidRPr="008B12C2">
        <w:rPr>
          <w:color w:val="auto"/>
          <w:sz w:val="24"/>
          <w:szCs w:val="24"/>
        </w:rPr>
        <w:t xml:space="preserve"> experience; </w:t>
      </w:r>
    </w:p>
    <w:p w:rsidR="008804BA" w:rsidRPr="008B12C2" w:rsidRDefault="008804BA" w:rsidP="008804BA">
      <w:pPr>
        <w:pStyle w:val="Heade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color w:val="auto"/>
          <w:sz w:val="24"/>
          <w:szCs w:val="24"/>
        </w:rPr>
      </w:pPr>
      <w:r w:rsidRPr="008B12C2">
        <w:rPr>
          <w:color w:val="auto"/>
          <w:sz w:val="24"/>
          <w:szCs w:val="24"/>
        </w:rPr>
        <w:t>Proved experience in similar type of engagement with particular focus on:</w:t>
      </w:r>
    </w:p>
    <w:p w:rsidR="008804BA" w:rsidRPr="008B12C2" w:rsidRDefault="008804BA" w:rsidP="008804BA">
      <w:pPr>
        <w:pStyle w:val="Header"/>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sz w:val="24"/>
          <w:szCs w:val="24"/>
        </w:rPr>
      </w:pPr>
      <w:r w:rsidRPr="008B12C2">
        <w:rPr>
          <w:color w:val="auto"/>
          <w:sz w:val="24"/>
          <w:szCs w:val="24"/>
        </w:rPr>
        <w:t xml:space="preserve">training materials development; </w:t>
      </w:r>
    </w:p>
    <w:p w:rsidR="008804BA" w:rsidRPr="008B12C2" w:rsidRDefault="00AB7DDD" w:rsidP="008804BA">
      <w:pPr>
        <w:pStyle w:val="Header"/>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sz w:val="24"/>
          <w:szCs w:val="24"/>
        </w:rPr>
      </w:pPr>
      <w:r w:rsidRPr="008B12C2">
        <w:rPr>
          <w:color w:val="auto"/>
          <w:sz w:val="24"/>
          <w:szCs w:val="24"/>
        </w:rPr>
        <w:t>capacity-development</w:t>
      </w:r>
      <w:r w:rsidR="008804BA" w:rsidRPr="008B12C2">
        <w:rPr>
          <w:color w:val="auto"/>
          <w:sz w:val="24"/>
          <w:szCs w:val="24"/>
        </w:rPr>
        <w:t xml:space="preserve"> of organisations, teams and persons, prefer</w:t>
      </w:r>
      <w:r w:rsidRPr="008B12C2">
        <w:rPr>
          <w:color w:val="auto"/>
          <w:sz w:val="24"/>
          <w:szCs w:val="24"/>
        </w:rPr>
        <w:t>ably in strengthening education</w:t>
      </w:r>
      <w:r w:rsidR="008804BA" w:rsidRPr="008B12C2">
        <w:rPr>
          <w:color w:val="auto"/>
          <w:sz w:val="24"/>
          <w:szCs w:val="24"/>
        </w:rPr>
        <w:t xml:space="preserve"> systems and structures; </w:t>
      </w:r>
    </w:p>
    <w:p w:rsidR="008804BA" w:rsidRPr="008B12C2" w:rsidRDefault="008804BA" w:rsidP="008804BA">
      <w:pPr>
        <w:pStyle w:val="Header"/>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rPr>
          <w:color w:val="auto"/>
          <w:sz w:val="24"/>
          <w:szCs w:val="24"/>
        </w:rPr>
      </w:pPr>
      <w:r w:rsidRPr="008B12C2">
        <w:rPr>
          <w:color w:val="auto"/>
          <w:sz w:val="24"/>
          <w:szCs w:val="24"/>
        </w:rPr>
        <w:t xml:space="preserve">practical knowledge of and experience in education methodologies </w:t>
      </w:r>
      <w:r w:rsidR="00AB7DDD" w:rsidRPr="008B12C2">
        <w:rPr>
          <w:color w:val="auto"/>
          <w:sz w:val="24"/>
          <w:szCs w:val="24"/>
        </w:rPr>
        <w:t xml:space="preserve">for </w:t>
      </w:r>
      <w:r w:rsidRPr="008B12C2">
        <w:rPr>
          <w:color w:val="auto"/>
          <w:sz w:val="24"/>
          <w:szCs w:val="24"/>
        </w:rPr>
        <w:t>primary and secondary education in development contexts;</w:t>
      </w:r>
    </w:p>
    <w:p w:rsidR="003C6BC2" w:rsidRPr="008B12C2" w:rsidRDefault="003C6BC2" w:rsidP="008804BA">
      <w:pPr>
        <w:pStyle w:val="Heade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color w:val="auto"/>
          <w:sz w:val="24"/>
          <w:szCs w:val="24"/>
        </w:rPr>
      </w:pPr>
      <w:r w:rsidRPr="008B12C2">
        <w:rPr>
          <w:color w:val="auto"/>
          <w:sz w:val="24"/>
          <w:szCs w:val="24"/>
        </w:rPr>
        <w:t>Good interpersonal and team skills</w:t>
      </w:r>
    </w:p>
    <w:p w:rsidR="008804BA" w:rsidRPr="008B12C2" w:rsidRDefault="00AB7DDD" w:rsidP="008804BA">
      <w:pPr>
        <w:pStyle w:val="Heade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14" w:hanging="357"/>
        <w:rPr>
          <w:color w:val="auto"/>
          <w:sz w:val="24"/>
          <w:szCs w:val="24"/>
        </w:rPr>
      </w:pPr>
      <w:r w:rsidRPr="008B12C2">
        <w:rPr>
          <w:color w:val="auto"/>
          <w:sz w:val="24"/>
          <w:szCs w:val="24"/>
        </w:rPr>
        <w:t xml:space="preserve">Strong analytical and </w:t>
      </w:r>
      <w:r w:rsidR="00133838" w:rsidRPr="008B12C2">
        <w:rPr>
          <w:color w:val="auto"/>
          <w:sz w:val="24"/>
          <w:szCs w:val="24"/>
        </w:rPr>
        <w:t>problem-so</w:t>
      </w:r>
      <w:r w:rsidRPr="008B12C2">
        <w:rPr>
          <w:color w:val="auto"/>
          <w:sz w:val="24"/>
          <w:szCs w:val="24"/>
        </w:rPr>
        <w:t xml:space="preserve">lving </w:t>
      </w:r>
      <w:r w:rsidR="008804BA" w:rsidRPr="008B12C2">
        <w:rPr>
          <w:color w:val="auto"/>
          <w:sz w:val="24"/>
          <w:szCs w:val="24"/>
        </w:rPr>
        <w:t>skills</w:t>
      </w:r>
    </w:p>
    <w:p w:rsidR="003C6BC2" w:rsidRPr="008B12C2" w:rsidRDefault="003C6BC2" w:rsidP="008804BA">
      <w:pPr>
        <w:pStyle w:val="Heade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color w:val="auto"/>
          <w:sz w:val="24"/>
          <w:szCs w:val="24"/>
        </w:rPr>
      </w:pPr>
      <w:r w:rsidRPr="008B12C2">
        <w:rPr>
          <w:color w:val="auto"/>
          <w:sz w:val="24"/>
          <w:szCs w:val="24"/>
        </w:rPr>
        <w:lastRenderedPageBreak/>
        <w:t>Sympathy with the aims and objectives of Link</w:t>
      </w:r>
    </w:p>
    <w:p w:rsidR="003C6BC2" w:rsidRPr="008B12C2" w:rsidRDefault="003C6BC2" w:rsidP="008804BA">
      <w:pPr>
        <w:pStyle w:val="Heade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color w:val="auto"/>
          <w:sz w:val="24"/>
          <w:szCs w:val="24"/>
        </w:rPr>
      </w:pPr>
      <w:r w:rsidRPr="008B12C2">
        <w:rPr>
          <w:color w:val="auto"/>
          <w:sz w:val="24"/>
          <w:szCs w:val="24"/>
        </w:rPr>
        <w:t>Commitment to humanitarian principles and action;</w:t>
      </w:r>
    </w:p>
    <w:p w:rsidR="003C6BC2" w:rsidRPr="008B12C2" w:rsidRDefault="003C6BC2" w:rsidP="008804BA">
      <w:pPr>
        <w:pStyle w:val="Heade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color w:val="auto"/>
          <w:sz w:val="24"/>
          <w:szCs w:val="24"/>
        </w:rPr>
      </w:pPr>
      <w:r w:rsidRPr="008B12C2">
        <w:rPr>
          <w:color w:val="auto"/>
          <w:sz w:val="24"/>
          <w:szCs w:val="24"/>
        </w:rPr>
        <w:t xml:space="preserve">Commitment to Link’s Safeguarding and gender policies. </w:t>
      </w:r>
    </w:p>
    <w:p w:rsidR="003C6BC2" w:rsidRPr="008B12C2" w:rsidRDefault="003C6BC2" w:rsidP="008804BA">
      <w:pPr>
        <w:pStyle w:val="Heade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color w:val="auto"/>
          <w:sz w:val="24"/>
          <w:szCs w:val="24"/>
        </w:rPr>
      </w:pPr>
      <w:r w:rsidRPr="008B12C2">
        <w:rPr>
          <w:color w:val="auto"/>
          <w:sz w:val="24"/>
          <w:szCs w:val="24"/>
        </w:rPr>
        <w:t>Be an individual with high standards of integrity, with excellent negotiating skills and ability to manage external relationships.</w:t>
      </w:r>
    </w:p>
    <w:p w:rsidR="00133838" w:rsidRPr="008B12C2" w:rsidRDefault="00133838" w:rsidP="00133838">
      <w:pPr>
        <w:pStyle w:val="Heade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b/>
          <w:i/>
          <w:color w:val="auto"/>
          <w:sz w:val="24"/>
          <w:szCs w:val="24"/>
        </w:rPr>
      </w:pPr>
      <w:r w:rsidRPr="008B12C2">
        <w:rPr>
          <w:b/>
          <w:i/>
          <w:color w:val="auto"/>
          <w:sz w:val="24"/>
          <w:szCs w:val="24"/>
        </w:rPr>
        <w:t>Desirable</w:t>
      </w:r>
    </w:p>
    <w:p w:rsidR="008804BA" w:rsidRPr="008B12C2" w:rsidRDefault="00133838" w:rsidP="008804BA">
      <w:pPr>
        <w:pStyle w:val="Header"/>
        <w:numPr>
          <w:ilvl w:val="0"/>
          <w:numId w:val="19"/>
        </w:numPr>
        <w:rPr>
          <w:color w:val="auto"/>
          <w:sz w:val="24"/>
          <w:szCs w:val="24"/>
        </w:rPr>
      </w:pPr>
      <w:r w:rsidRPr="008B12C2">
        <w:rPr>
          <w:color w:val="auto"/>
          <w:sz w:val="24"/>
          <w:szCs w:val="24"/>
        </w:rPr>
        <w:t xml:space="preserve">Experience of working </w:t>
      </w:r>
      <w:r w:rsidR="008804BA" w:rsidRPr="008B12C2">
        <w:rPr>
          <w:color w:val="auto"/>
          <w:sz w:val="24"/>
          <w:szCs w:val="24"/>
        </w:rPr>
        <w:t>in the education sector in Ethiopia</w:t>
      </w:r>
    </w:p>
    <w:p w:rsidR="008804BA" w:rsidRPr="008B12C2" w:rsidRDefault="008804BA" w:rsidP="008804BA">
      <w:pPr>
        <w:pStyle w:val="Header"/>
        <w:ind w:left="720"/>
        <w:rPr>
          <w:color w:val="auto"/>
          <w:sz w:val="24"/>
          <w:szCs w:val="24"/>
        </w:rPr>
      </w:pPr>
    </w:p>
    <w:tbl>
      <w:tblPr>
        <w:tblW w:w="10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90"/>
      </w:tblGrid>
      <w:tr w:rsidR="008B12C2" w:rsidRPr="008B12C2" w:rsidTr="00BB44BE">
        <w:trPr>
          <w:trHeight w:val="389"/>
          <w:jc w:val="center"/>
        </w:trPr>
        <w:tc>
          <w:tcPr>
            <w:tcW w:w="10490" w:type="dxa"/>
            <w:tcBorders>
              <w:top w:val="single" w:sz="24" w:space="0" w:color="000000"/>
              <w:left w:val="nil"/>
              <w:bottom w:val="single" w:sz="24" w:space="0" w:color="000000"/>
              <w:right w:val="nil"/>
            </w:tcBorders>
            <w:shd w:val="clear" w:color="auto" w:fill="auto"/>
            <w:tcMar>
              <w:top w:w="80" w:type="dxa"/>
              <w:left w:w="80" w:type="dxa"/>
              <w:bottom w:w="80" w:type="dxa"/>
              <w:right w:w="80" w:type="dxa"/>
            </w:tcMar>
          </w:tcPr>
          <w:p w:rsidR="003C6BC2" w:rsidRPr="008B12C2" w:rsidRDefault="003C6BC2" w:rsidP="003C6BC2">
            <w:pPr>
              <w:pStyle w:val="Header"/>
              <w:widowControl w:val="0"/>
              <w:rPr>
                <w:b/>
                <w:color w:val="auto"/>
                <w:sz w:val="32"/>
                <w:szCs w:val="32"/>
              </w:rPr>
            </w:pPr>
            <w:r w:rsidRPr="008B12C2">
              <w:rPr>
                <w:b/>
                <w:color w:val="auto"/>
                <w:sz w:val="32"/>
                <w:szCs w:val="32"/>
              </w:rPr>
              <w:t>APPLICATION NOTES</w:t>
            </w:r>
          </w:p>
        </w:tc>
      </w:tr>
    </w:tbl>
    <w:p w:rsidR="008804BA" w:rsidRPr="008B12C2" w:rsidRDefault="008804BA" w:rsidP="000A1682">
      <w:pPr>
        <w:pStyle w:val="Header"/>
        <w:widowControl w:val="0"/>
        <w:spacing w:before="240"/>
        <w:jc w:val="both"/>
        <w:rPr>
          <w:b/>
          <w:color w:val="auto"/>
          <w:sz w:val="24"/>
          <w:szCs w:val="24"/>
          <w:lang w:val="en-GB"/>
        </w:rPr>
      </w:pPr>
      <w:r w:rsidRPr="008B12C2">
        <w:rPr>
          <w:color w:val="auto"/>
          <w:sz w:val="24"/>
          <w:szCs w:val="24"/>
          <w:lang w:val="en-GB"/>
        </w:rPr>
        <w:t xml:space="preserve">The proposed time-frame for the consultancy is </w:t>
      </w:r>
      <w:r w:rsidR="000A1682" w:rsidRPr="008B12C2">
        <w:rPr>
          <w:color w:val="auto"/>
          <w:sz w:val="24"/>
          <w:szCs w:val="24"/>
          <w:lang w:val="en-GB"/>
        </w:rPr>
        <w:t>of</w:t>
      </w:r>
      <w:r w:rsidR="000A1682" w:rsidRPr="008B12C2">
        <w:rPr>
          <w:b/>
          <w:color w:val="auto"/>
          <w:sz w:val="24"/>
          <w:szCs w:val="24"/>
          <w:lang w:val="en-GB"/>
        </w:rPr>
        <w:t xml:space="preserve"> </w:t>
      </w:r>
      <w:r w:rsidRPr="008B12C2">
        <w:rPr>
          <w:b/>
          <w:color w:val="auto"/>
          <w:sz w:val="24"/>
          <w:szCs w:val="24"/>
          <w:lang w:val="en-GB"/>
        </w:rPr>
        <w:t>31 Days</w:t>
      </w:r>
      <w:r w:rsidR="000A1682" w:rsidRPr="008B12C2">
        <w:rPr>
          <w:color w:val="auto"/>
          <w:sz w:val="24"/>
          <w:szCs w:val="24"/>
          <w:lang w:val="en-GB"/>
        </w:rPr>
        <w:t xml:space="preserve">, with a proposed </w:t>
      </w:r>
      <w:r w:rsidR="000A1682" w:rsidRPr="008B12C2">
        <w:rPr>
          <w:b/>
          <w:color w:val="auto"/>
          <w:sz w:val="24"/>
          <w:szCs w:val="24"/>
          <w:lang w:val="en-GB"/>
        </w:rPr>
        <w:t xml:space="preserve">start date on </w:t>
      </w:r>
      <w:r w:rsidRPr="008B12C2">
        <w:rPr>
          <w:b/>
          <w:color w:val="auto"/>
          <w:sz w:val="24"/>
          <w:szCs w:val="24"/>
          <w:lang w:val="en-GB"/>
        </w:rPr>
        <w:t>April 2021</w:t>
      </w:r>
      <w:r w:rsidR="000A1682" w:rsidRPr="008B12C2">
        <w:rPr>
          <w:color w:val="auto"/>
          <w:sz w:val="24"/>
          <w:szCs w:val="24"/>
          <w:lang w:val="en-GB"/>
        </w:rPr>
        <w:t xml:space="preserve"> and a proposed </w:t>
      </w:r>
      <w:r w:rsidR="000A1682" w:rsidRPr="008B12C2">
        <w:rPr>
          <w:b/>
          <w:color w:val="auto"/>
          <w:sz w:val="24"/>
          <w:szCs w:val="24"/>
          <w:lang w:val="en-GB"/>
        </w:rPr>
        <w:t>end date on September 2021</w:t>
      </w:r>
      <w:r w:rsidR="000A1682" w:rsidRPr="008B12C2">
        <w:rPr>
          <w:color w:val="auto"/>
          <w:sz w:val="24"/>
          <w:szCs w:val="24"/>
          <w:lang w:val="en-GB"/>
        </w:rPr>
        <w:t xml:space="preserve">, on </w:t>
      </w:r>
      <w:r w:rsidRPr="008B12C2">
        <w:rPr>
          <w:color w:val="auto"/>
          <w:sz w:val="24"/>
          <w:szCs w:val="24"/>
          <w:lang w:val="en-GB"/>
        </w:rPr>
        <w:t xml:space="preserve">time for actual training in </w:t>
      </w:r>
      <w:r w:rsidRPr="008B12C2">
        <w:rPr>
          <w:b/>
          <w:color w:val="auto"/>
          <w:sz w:val="24"/>
          <w:szCs w:val="24"/>
          <w:lang w:val="en-GB"/>
        </w:rPr>
        <w:t>Oct/Nov 2021</w:t>
      </w:r>
      <w:r w:rsidR="000A1682" w:rsidRPr="008B12C2">
        <w:rPr>
          <w:color w:val="auto"/>
          <w:sz w:val="24"/>
          <w:szCs w:val="24"/>
          <w:lang w:val="en-GB"/>
        </w:rPr>
        <w:t>.</w:t>
      </w:r>
    </w:p>
    <w:p w:rsidR="003C6BC2" w:rsidRPr="008B12C2" w:rsidRDefault="003C6BC2" w:rsidP="00094025">
      <w:pPr>
        <w:pStyle w:val="Heade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color w:val="auto"/>
          <w:sz w:val="24"/>
          <w:szCs w:val="24"/>
        </w:rPr>
      </w:pPr>
      <w:r w:rsidRPr="008B12C2">
        <w:rPr>
          <w:color w:val="auto"/>
          <w:sz w:val="24"/>
          <w:szCs w:val="24"/>
        </w:rPr>
        <w:t xml:space="preserve">Please send a Cover Letter and CV to Link: </w:t>
      </w:r>
      <w:hyperlink r:id="rId8" w:history="1">
        <w:r w:rsidR="00E74AE6" w:rsidRPr="008B12C2">
          <w:rPr>
            <w:rStyle w:val="Hyperlink"/>
            <w:b/>
            <w:color w:val="auto"/>
            <w:sz w:val="24"/>
            <w:szCs w:val="24"/>
            <w:u w:color="FF00FF"/>
          </w:rPr>
          <w:t>nicolo@linkeducation.org.uk</w:t>
        </w:r>
      </w:hyperlink>
      <w:r w:rsidR="00E74AE6" w:rsidRPr="008B12C2">
        <w:rPr>
          <w:b/>
          <w:color w:val="auto"/>
          <w:sz w:val="24"/>
          <w:szCs w:val="24"/>
        </w:rPr>
        <w:t xml:space="preserve">; </w:t>
      </w:r>
      <w:r w:rsidR="00133838" w:rsidRPr="008B12C2">
        <w:rPr>
          <w:color w:val="auto"/>
          <w:sz w:val="24"/>
          <w:szCs w:val="24"/>
        </w:rPr>
        <w:t>co</w:t>
      </w:r>
      <w:r w:rsidR="00E74AE6" w:rsidRPr="008B12C2">
        <w:rPr>
          <w:color w:val="auto"/>
          <w:sz w:val="24"/>
          <w:szCs w:val="24"/>
        </w:rPr>
        <w:t>p</w:t>
      </w:r>
      <w:r w:rsidR="00133838" w:rsidRPr="008B12C2">
        <w:rPr>
          <w:color w:val="auto"/>
          <w:sz w:val="24"/>
          <w:szCs w:val="24"/>
        </w:rPr>
        <w:t>y</w:t>
      </w:r>
      <w:r w:rsidRPr="008B12C2">
        <w:rPr>
          <w:color w:val="auto"/>
          <w:sz w:val="24"/>
          <w:szCs w:val="24"/>
        </w:rPr>
        <w:t xml:space="preserve">ing: </w:t>
      </w:r>
      <w:r w:rsidR="008804BA" w:rsidRPr="008B12C2">
        <w:rPr>
          <w:b/>
          <w:color w:val="auto"/>
          <w:sz w:val="24"/>
          <w:szCs w:val="24"/>
          <w:u w:val="single" w:color="FF00FF"/>
        </w:rPr>
        <w:t>sandra@linkeducation</w:t>
      </w:r>
      <w:r w:rsidRPr="008B12C2">
        <w:rPr>
          <w:b/>
          <w:color w:val="auto"/>
          <w:sz w:val="24"/>
          <w:szCs w:val="24"/>
          <w:u w:val="single" w:color="FF00FF"/>
        </w:rPr>
        <w:t>.org</w:t>
      </w:r>
      <w:r w:rsidR="008804BA" w:rsidRPr="008B12C2">
        <w:rPr>
          <w:b/>
          <w:color w:val="auto"/>
          <w:sz w:val="24"/>
          <w:szCs w:val="24"/>
          <w:u w:val="single" w:color="FF00FF"/>
        </w:rPr>
        <w:t>.uk</w:t>
      </w:r>
      <w:r w:rsidRPr="008B12C2">
        <w:rPr>
          <w:color w:val="auto"/>
          <w:sz w:val="24"/>
          <w:szCs w:val="24"/>
          <w:u w:val="single" w:color="FF00FF"/>
        </w:rPr>
        <w:t xml:space="preserve"> </w:t>
      </w:r>
      <w:r w:rsidRPr="008B12C2">
        <w:rPr>
          <w:color w:val="auto"/>
          <w:sz w:val="24"/>
          <w:szCs w:val="24"/>
        </w:rPr>
        <w:t>with</w:t>
      </w:r>
      <w:r w:rsidR="008804BA" w:rsidRPr="008B12C2">
        <w:rPr>
          <w:color w:val="auto"/>
          <w:sz w:val="24"/>
          <w:szCs w:val="24"/>
        </w:rPr>
        <w:t xml:space="preserve"> the subject line "T</w:t>
      </w:r>
      <w:r w:rsidR="000A1682" w:rsidRPr="008B12C2">
        <w:rPr>
          <w:color w:val="auto"/>
          <w:sz w:val="24"/>
          <w:szCs w:val="24"/>
        </w:rPr>
        <w:t>eacher T</w:t>
      </w:r>
      <w:r w:rsidR="008804BA" w:rsidRPr="008B12C2">
        <w:rPr>
          <w:color w:val="auto"/>
          <w:sz w:val="24"/>
          <w:szCs w:val="24"/>
        </w:rPr>
        <w:t xml:space="preserve">raining, Gender &amp; Inclusion – Lead Consultant </w:t>
      </w:r>
      <w:r w:rsidRPr="008B12C2">
        <w:rPr>
          <w:color w:val="auto"/>
          <w:sz w:val="24"/>
          <w:szCs w:val="24"/>
        </w:rPr>
        <w:t>– Job Application"</w:t>
      </w:r>
    </w:p>
    <w:p w:rsidR="003C6BC2" w:rsidRPr="008B12C2" w:rsidRDefault="003C6BC2" w:rsidP="00094025">
      <w:pPr>
        <w:pStyle w:val="Heade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4"/>
          <w:szCs w:val="24"/>
        </w:rPr>
      </w:pPr>
      <w:r w:rsidRPr="008B12C2">
        <w:rPr>
          <w:color w:val="auto"/>
          <w:sz w:val="24"/>
          <w:szCs w:val="24"/>
        </w:rPr>
        <w:t xml:space="preserve">Your cover letter should detail how you meet the required criteria </w:t>
      </w:r>
    </w:p>
    <w:p w:rsidR="003C6BC2" w:rsidRPr="008B12C2" w:rsidRDefault="003C6BC2" w:rsidP="00094025">
      <w:pPr>
        <w:pStyle w:val="Heade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4"/>
          <w:szCs w:val="24"/>
        </w:rPr>
      </w:pPr>
      <w:r w:rsidRPr="008B12C2">
        <w:rPr>
          <w:color w:val="auto"/>
          <w:sz w:val="24"/>
          <w:szCs w:val="24"/>
        </w:rPr>
        <w:t>It should also include your available start date and consultancy cost expectations</w:t>
      </w:r>
    </w:p>
    <w:p w:rsidR="003C6BC2" w:rsidRPr="008B12C2" w:rsidRDefault="003C6BC2" w:rsidP="00094025">
      <w:pPr>
        <w:pStyle w:val="Heade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4"/>
          <w:szCs w:val="24"/>
        </w:rPr>
      </w:pPr>
      <w:r w:rsidRPr="008B12C2">
        <w:rPr>
          <w:color w:val="auto"/>
          <w:sz w:val="24"/>
          <w:szCs w:val="24"/>
        </w:rPr>
        <w:t xml:space="preserve">The closing date for applications is </w:t>
      </w:r>
      <w:r w:rsidR="000A1682" w:rsidRPr="008B12C2">
        <w:rPr>
          <w:b/>
          <w:color w:val="auto"/>
          <w:sz w:val="24"/>
          <w:szCs w:val="24"/>
        </w:rPr>
        <w:t>Friday, April 1</w:t>
      </w:r>
      <w:r w:rsidRPr="008B12C2">
        <w:rPr>
          <w:b/>
          <w:color w:val="auto"/>
          <w:sz w:val="24"/>
          <w:szCs w:val="24"/>
        </w:rPr>
        <w:t>6 2021</w:t>
      </w:r>
    </w:p>
    <w:p w:rsidR="003C6BC2" w:rsidRPr="008B12C2" w:rsidRDefault="003C6BC2" w:rsidP="00094025">
      <w:pPr>
        <w:pStyle w:val="Heade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4"/>
          <w:szCs w:val="24"/>
        </w:rPr>
      </w:pPr>
      <w:r w:rsidRPr="008B12C2">
        <w:rPr>
          <w:color w:val="auto"/>
          <w:sz w:val="24"/>
          <w:szCs w:val="24"/>
        </w:rPr>
        <w:t>Only shortlisted candidates will be contacted for interview. Unsuccessful applicants will not be notified.</w:t>
      </w:r>
    </w:p>
    <w:p w:rsidR="00094025" w:rsidRPr="008B12C2" w:rsidRDefault="00094025" w:rsidP="00094025">
      <w:pPr>
        <w:pStyle w:val="Header"/>
        <w:widowControl w:val="0"/>
        <w:pBdr>
          <w:top w:val="none" w:sz="0" w:space="0" w:color="auto"/>
          <w:left w:val="none" w:sz="0" w:space="0" w:color="auto"/>
          <w:bottom w:val="none" w:sz="0" w:space="0" w:color="auto"/>
          <w:right w:val="none" w:sz="0" w:space="0" w:color="auto"/>
          <w:between w:val="none" w:sz="0" w:space="0" w:color="auto"/>
          <w:bar w:val="none" w:sz="0" w:color="auto"/>
        </w:pBdr>
        <w:ind w:left="360"/>
        <w:jc w:val="both"/>
        <w:rPr>
          <w:b/>
          <w:color w:val="auto"/>
          <w:sz w:val="24"/>
          <w:szCs w:val="24"/>
        </w:rPr>
      </w:pPr>
    </w:p>
    <w:p w:rsidR="00C41281" w:rsidRPr="008B12C2" w:rsidRDefault="003C6BC2" w:rsidP="00094025">
      <w:pPr>
        <w:pStyle w:val="Header"/>
        <w:widowControl w:val="0"/>
        <w:pBdr>
          <w:top w:val="none" w:sz="0" w:space="0" w:color="auto"/>
          <w:left w:val="none" w:sz="0" w:space="0" w:color="auto"/>
          <w:bottom w:val="none" w:sz="0" w:space="0" w:color="auto"/>
          <w:right w:val="none" w:sz="0" w:space="0" w:color="auto"/>
          <w:between w:val="none" w:sz="0" w:space="0" w:color="auto"/>
          <w:bar w:val="none" w:sz="0" w:color="auto"/>
        </w:pBdr>
        <w:ind w:left="360"/>
        <w:jc w:val="center"/>
        <w:rPr>
          <w:b/>
          <w:color w:val="auto"/>
          <w:sz w:val="28"/>
          <w:szCs w:val="28"/>
        </w:rPr>
      </w:pPr>
      <w:r w:rsidRPr="008B12C2">
        <w:rPr>
          <w:b/>
          <w:color w:val="auto"/>
          <w:sz w:val="28"/>
          <w:szCs w:val="28"/>
        </w:rPr>
        <w:t>Female candidates and persons with disability ar</w:t>
      </w:r>
      <w:bookmarkStart w:id="0" w:name="_GoBack"/>
      <w:bookmarkEnd w:id="0"/>
      <w:r w:rsidRPr="008B12C2">
        <w:rPr>
          <w:b/>
          <w:color w:val="auto"/>
          <w:sz w:val="28"/>
          <w:szCs w:val="28"/>
        </w:rPr>
        <w:t>e strongly encouraged to apply!</w:t>
      </w:r>
    </w:p>
    <w:sectPr w:rsidR="00C41281" w:rsidRPr="008B12C2" w:rsidSect="003E4983">
      <w:footerReference w:type="default" r:id="rId9"/>
      <w:pgSz w:w="11900" w:h="16840"/>
      <w:pgMar w:top="567" w:right="720" w:bottom="567" w:left="720" w:header="284"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F3" w:rsidRDefault="000A0EF3">
      <w:r>
        <w:separator/>
      </w:r>
    </w:p>
  </w:endnote>
  <w:endnote w:type="continuationSeparator" w:id="0">
    <w:p w:rsidR="000A0EF3" w:rsidRDefault="000A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167566"/>
      <w:docPartObj>
        <w:docPartGallery w:val="Page Numbers (Bottom of Page)"/>
        <w:docPartUnique/>
      </w:docPartObj>
    </w:sdtPr>
    <w:sdtEndPr>
      <w:rPr>
        <w:noProof/>
      </w:rPr>
    </w:sdtEndPr>
    <w:sdtContent>
      <w:p w:rsidR="00133838" w:rsidRDefault="00133838">
        <w:pPr>
          <w:pStyle w:val="Footer"/>
          <w:jc w:val="center"/>
        </w:pPr>
        <w:r>
          <w:fldChar w:fldCharType="begin"/>
        </w:r>
        <w:r>
          <w:instrText xml:space="preserve"> PAGE   \* MERGEFORMAT </w:instrText>
        </w:r>
        <w:r>
          <w:fldChar w:fldCharType="separate"/>
        </w:r>
        <w:r w:rsidR="008B12C2">
          <w:rPr>
            <w:noProof/>
          </w:rPr>
          <w:t>2</w:t>
        </w:r>
        <w:r>
          <w:rPr>
            <w:noProof/>
          </w:rPr>
          <w:fldChar w:fldCharType="end"/>
        </w:r>
      </w:p>
    </w:sdtContent>
  </w:sdt>
  <w:p w:rsidR="00E01440" w:rsidRDefault="00E01440">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F3" w:rsidRDefault="000A0EF3">
      <w:r>
        <w:separator/>
      </w:r>
    </w:p>
  </w:footnote>
  <w:footnote w:type="continuationSeparator" w:id="0">
    <w:p w:rsidR="000A0EF3" w:rsidRDefault="000A0E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64D"/>
    <w:multiLevelType w:val="hybridMultilevel"/>
    <w:tmpl w:val="4072E23C"/>
    <w:lvl w:ilvl="0" w:tplc="F98E3E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14B7B"/>
    <w:multiLevelType w:val="hybridMultilevel"/>
    <w:tmpl w:val="09A43446"/>
    <w:lvl w:ilvl="0" w:tplc="AB4289FA">
      <w:start w:val="1"/>
      <w:numFmt w:val="bullet"/>
      <w:lvlText w:val="•"/>
      <w:lvlJc w:val="left"/>
      <w:pPr>
        <w:ind w:left="107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CA8264EA">
      <w:start w:val="1"/>
      <w:numFmt w:val="bullet"/>
      <w:lvlText w:val="o"/>
      <w:lvlJc w:val="left"/>
      <w:pPr>
        <w:ind w:left="179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E542AB06">
      <w:start w:val="1"/>
      <w:numFmt w:val="bullet"/>
      <w:lvlText w:val="▪"/>
      <w:lvlJc w:val="left"/>
      <w:pPr>
        <w:ind w:left="251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A8493B2">
      <w:start w:val="1"/>
      <w:numFmt w:val="bullet"/>
      <w:lvlText w:val="•"/>
      <w:lvlJc w:val="left"/>
      <w:pPr>
        <w:ind w:left="323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BA4C7A3E">
      <w:start w:val="1"/>
      <w:numFmt w:val="bullet"/>
      <w:lvlText w:val="o"/>
      <w:lvlJc w:val="left"/>
      <w:pPr>
        <w:ind w:left="395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1494BED2">
      <w:start w:val="1"/>
      <w:numFmt w:val="bullet"/>
      <w:lvlText w:val="▪"/>
      <w:lvlJc w:val="left"/>
      <w:pPr>
        <w:ind w:left="467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13D4EB10">
      <w:start w:val="1"/>
      <w:numFmt w:val="bullet"/>
      <w:lvlText w:val="•"/>
      <w:lvlJc w:val="left"/>
      <w:pPr>
        <w:ind w:left="539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6686BCB2">
      <w:start w:val="1"/>
      <w:numFmt w:val="bullet"/>
      <w:lvlText w:val="o"/>
      <w:lvlJc w:val="left"/>
      <w:pPr>
        <w:ind w:left="611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BF0326A">
      <w:start w:val="1"/>
      <w:numFmt w:val="bullet"/>
      <w:lvlText w:val="▪"/>
      <w:lvlJc w:val="left"/>
      <w:pPr>
        <w:ind w:left="683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5844E51"/>
    <w:multiLevelType w:val="hybridMultilevel"/>
    <w:tmpl w:val="2B3291B4"/>
    <w:lvl w:ilvl="0" w:tplc="24FC2FA4">
      <w:start w:val="3"/>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824FD"/>
    <w:multiLevelType w:val="hybridMultilevel"/>
    <w:tmpl w:val="8DBC00EE"/>
    <w:lvl w:ilvl="0" w:tplc="14E020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9430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FA802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F340B2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62A4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9783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96B7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62D2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0642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D50773F"/>
    <w:multiLevelType w:val="hybridMultilevel"/>
    <w:tmpl w:val="FA04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937E3"/>
    <w:multiLevelType w:val="hybridMultilevel"/>
    <w:tmpl w:val="A21A69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17182"/>
    <w:multiLevelType w:val="hybridMultilevel"/>
    <w:tmpl w:val="8CA4F5DC"/>
    <w:lvl w:ilvl="0" w:tplc="AE045B2E">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50C4E4D0">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821CF112">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3" w:tplc="DD48B416">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4864B206">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4656D3E0">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6" w:tplc="D63089A0">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309094C0">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17C8DC4C">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7F1052A"/>
    <w:multiLevelType w:val="hybridMultilevel"/>
    <w:tmpl w:val="755CB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53BF1"/>
    <w:multiLevelType w:val="hybridMultilevel"/>
    <w:tmpl w:val="8D3E099E"/>
    <w:lvl w:ilvl="0" w:tplc="669AA4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278BF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B2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5A46B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C88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AC96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0081A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CBE51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FA16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2CEC1888"/>
    <w:multiLevelType w:val="hybridMultilevel"/>
    <w:tmpl w:val="77F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A3315"/>
    <w:multiLevelType w:val="hybridMultilevel"/>
    <w:tmpl w:val="E29AAD72"/>
    <w:lvl w:ilvl="0" w:tplc="9FC2744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F8A2EF78">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540EFF0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3" w:tplc="096E3AF6">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620832F8">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9CDADE72">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6" w:tplc="637AA632">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78FCBC1A">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B8B478EC">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47F121E1"/>
    <w:multiLevelType w:val="hybridMultilevel"/>
    <w:tmpl w:val="D5223A2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7244A"/>
    <w:multiLevelType w:val="hybridMultilevel"/>
    <w:tmpl w:val="51F0D86E"/>
    <w:lvl w:ilvl="0" w:tplc="08090001">
      <w:start w:val="1"/>
      <w:numFmt w:val="bullet"/>
      <w:lvlText w:val=""/>
      <w:lvlJc w:val="left"/>
      <w:pPr>
        <w:ind w:left="720" w:hanging="360"/>
      </w:pPr>
      <w:rPr>
        <w:rFonts w:ascii="Symbol" w:hAnsi="Symbol" w:hint="default"/>
      </w:rPr>
    </w:lvl>
    <w:lvl w:ilvl="1" w:tplc="80E2F1A2">
      <w:start w:val="1"/>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C0E8B"/>
    <w:multiLevelType w:val="hybridMultilevel"/>
    <w:tmpl w:val="14C2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92D21"/>
    <w:multiLevelType w:val="hybridMultilevel"/>
    <w:tmpl w:val="2BB89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55C80"/>
    <w:multiLevelType w:val="hybridMultilevel"/>
    <w:tmpl w:val="B78C04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703A3"/>
    <w:multiLevelType w:val="hybridMultilevel"/>
    <w:tmpl w:val="554E2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A344A"/>
    <w:multiLevelType w:val="hybridMultilevel"/>
    <w:tmpl w:val="8BD85AC2"/>
    <w:lvl w:ilvl="0" w:tplc="5D141B58">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5A6EB50C">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465EF3D2">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3" w:tplc="8850E3E8">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C0B68F86">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6C6CDCD4">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6" w:tplc="43C06BC2">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6508541A">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FF923CAC">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6691156A"/>
    <w:multiLevelType w:val="hybridMultilevel"/>
    <w:tmpl w:val="BA640978"/>
    <w:lvl w:ilvl="0" w:tplc="F98E3EB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76910"/>
    <w:multiLevelType w:val="hybridMultilevel"/>
    <w:tmpl w:val="9C0050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7552AF"/>
    <w:multiLevelType w:val="hybridMultilevel"/>
    <w:tmpl w:val="714CE298"/>
    <w:lvl w:ilvl="0" w:tplc="9892C80C">
      <w:start w:val="1"/>
      <w:numFmt w:val="bullet"/>
      <w:lvlText w:val="•"/>
      <w:lvlJc w:val="left"/>
      <w:pPr>
        <w:ind w:left="7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32C4D5C8">
      <w:start w:val="1"/>
      <w:numFmt w:val="bullet"/>
      <w:lvlText w:val="o"/>
      <w:lvlJc w:val="left"/>
      <w:pPr>
        <w:ind w:left="15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060C44AA">
      <w:start w:val="1"/>
      <w:numFmt w:val="bullet"/>
      <w:lvlText w:val="▪"/>
      <w:lvlJc w:val="left"/>
      <w:pPr>
        <w:ind w:left="22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3" w:tplc="895C0560">
      <w:start w:val="1"/>
      <w:numFmt w:val="bullet"/>
      <w:lvlText w:val="•"/>
      <w:lvlJc w:val="left"/>
      <w:pPr>
        <w:ind w:left="29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97563F8C">
      <w:start w:val="1"/>
      <w:numFmt w:val="bullet"/>
      <w:lvlText w:val="o"/>
      <w:lvlJc w:val="left"/>
      <w:pPr>
        <w:ind w:left="36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50BEE7BC">
      <w:start w:val="1"/>
      <w:numFmt w:val="bullet"/>
      <w:lvlText w:val="▪"/>
      <w:lvlJc w:val="left"/>
      <w:pPr>
        <w:ind w:left="43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6" w:tplc="D9D67B32">
      <w:start w:val="1"/>
      <w:numFmt w:val="bullet"/>
      <w:lvlText w:val="•"/>
      <w:lvlJc w:val="left"/>
      <w:pPr>
        <w:ind w:left="51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B980D91A">
      <w:start w:val="1"/>
      <w:numFmt w:val="bullet"/>
      <w:lvlText w:val="o"/>
      <w:lvlJc w:val="left"/>
      <w:pPr>
        <w:ind w:left="58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489E4DFC">
      <w:start w:val="1"/>
      <w:numFmt w:val="bullet"/>
      <w:lvlText w:val="▪"/>
      <w:lvlJc w:val="left"/>
      <w:pPr>
        <w:ind w:left="65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7F484447"/>
    <w:multiLevelType w:val="hybridMultilevel"/>
    <w:tmpl w:val="23CA7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3"/>
  </w:num>
  <w:num w:numId="4">
    <w:abstractNumId w:val="6"/>
  </w:num>
  <w:num w:numId="5">
    <w:abstractNumId w:val="17"/>
  </w:num>
  <w:num w:numId="6">
    <w:abstractNumId w:val="17"/>
    <w:lvlOverride w:ilvl="0">
      <w:lvl w:ilvl="0" w:tplc="5D141B5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1">
      <w:lvl w:ilvl="1" w:tplc="5A6EB50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2">
      <w:lvl w:ilvl="2" w:tplc="465EF3D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3">
      <w:lvl w:ilvl="3" w:tplc="8850E3E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4">
      <w:lvl w:ilvl="4" w:tplc="C0B68F8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5">
      <w:lvl w:ilvl="5" w:tplc="6C6CDCD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6">
      <w:lvl w:ilvl="6" w:tplc="43C06BC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7">
      <w:lvl w:ilvl="7" w:tplc="6508541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8">
      <w:lvl w:ilvl="8" w:tplc="FF923CA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0"/>
          <w:szCs w:val="10"/>
          <w:highlight w:val="none"/>
          <w:vertAlign w:val="baseline"/>
        </w:rPr>
      </w:lvl>
    </w:lvlOverride>
  </w:num>
  <w:num w:numId="7">
    <w:abstractNumId w:val="1"/>
  </w:num>
  <w:num w:numId="8">
    <w:abstractNumId w:val="10"/>
  </w:num>
  <w:num w:numId="9">
    <w:abstractNumId w:val="1"/>
    <w:lvlOverride w:ilvl="0">
      <w:lvl w:ilvl="0" w:tplc="AB4289FA">
        <w:start w:val="1"/>
        <w:numFmt w:val="bullet"/>
        <w:lvlText w:val="•"/>
        <w:lvlJc w:val="left"/>
        <w:pPr>
          <w:ind w:left="107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A8264EA">
        <w:start w:val="1"/>
        <w:numFmt w:val="bullet"/>
        <w:lvlText w:val="o"/>
        <w:lvlJc w:val="left"/>
        <w:pPr>
          <w:ind w:left="179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542AB06">
        <w:start w:val="1"/>
        <w:numFmt w:val="bullet"/>
        <w:lvlText w:val="▪"/>
        <w:lvlJc w:val="left"/>
        <w:pPr>
          <w:ind w:left="251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A8493B2">
        <w:start w:val="1"/>
        <w:numFmt w:val="bullet"/>
        <w:lvlText w:val="•"/>
        <w:lvlJc w:val="left"/>
        <w:pPr>
          <w:ind w:left="323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A4C7A3E">
        <w:start w:val="1"/>
        <w:numFmt w:val="bullet"/>
        <w:lvlText w:val="o"/>
        <w:lvlJc w:val="left"/>
        <w:pPr>
          <w:ind w:left="395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494BED2">
        <w:start w:val="1"/>
        <w:numFmt w:val="bullet"/>
        <w:lvlText w:val="▪"/>
        <w:lvlJc w:val="left"/>
        <w:pPr>
          <w:ind w:left="467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3D4EB10">
        <w:start w:val="1"/>
        <w:numFmt w:val="bullet"/>
        <w:lvlText w:val="•"/>
        <w:lvlJc w:val="left"/>
        <w:pPr>
          <w:ind w:left="539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686BCB2">
        <w:start w:val="1"/>
        <w:numFmt w:val="bullet"/>
        <w:lvlText w:val="o"/>
        <w:lvlJc w:val="left"/>
        <w:pPr>
          <w:ind w:left="611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7BF0326A">
        <w:start w:val="1"/>
        <w:numFmt w:val="bullet"/>
        <w:lvlText w:val="▪"/>
        <w:lvlJc w:val="left"/>
        <w:pPr>
          <w:ind w:left="683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9"/>
  </w:num>
  <w:num w:numId="11">
    <w:abstractNumId w:val="4"/>
  </w:num>
  <w:num w:numId="12">
    <w:abstractNumId w:val="14"/>
  </w:num>
  <w:num w:numId="13">
    <w:abstractNumId w:val="2"/>
  </w:num>
  <w:num w:numId="14">
    <w:abstractNumId w:val="12"/>
  </w:num>
  <w:num w:numId="15">
    <w:abstractNumId w:val="18"/>
  </w:num>
  <w:num w:numId="16">
    <w:abstractNumId w:val="21"/>
  </w:num>
  <w:num w:numId="17">
    <w:abstractNumId w:val="0"/>
  </w:num>
  <w:num w:numId="18">
    <w:abstractNumId w:val="19"/>
  </w:num>
  <w:num w:numId="19">
    <w:abstractNumId w:val="7"/>
  </w:num>
  <w:num w:numId="20">
    <w:abstractNumId w:val="5"/>
  </w:num>
  <w:num w:numId="21">
    <w:abstractNumId w:val="15"/>
  </w:num>
  <w:num w:numId="22">
    <w:abstractNumId w:val="13"/>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8B"/>
    <w:rsid w:val="0007189F"/>
    <w:rsid w:val="00072CE3"/>
    <w:rsid w:val="00094025"/>
    <w:rsid w:val="0009420A"/>
    <w:rsid w:val="000A0EF3"/>
    <w:rsid w:val="000A1682"/>
    <w:rsid w:val="000C4F2E"/>
    <w:rsid w:val="000D70A4"/>
    <w:rsid w:val="00133838"/>
    <w:rsid w:val="001416AB"/>
    <w:rsid w:val="001621AB"/>
    <w:rsid w:val="00183035"/>
    <w:rsid w:val="001D77CE"/>
    <w:rsid w:val="002B1BBC"/>
    <w:rsid w:val="002C3CBB"/>
    <w:rsid w:val="002E09ED"/>
    <w:rsid w:val="00330CF8"/>
    <w:rsid w:val="00362D73"/>
    <w:rsid w:val="00392CB7"/>
    <w:rsid w:val="00396753"/>
    <w:rsid w:val="003C6BC2"/>
    <w:rsid w:val="003E4983"/>
    <w:rsid w:val="003F0AA9"/>
    <w:rsid w:val="00474C3C"/>
    <w:rsid w:val="00482FA6"/>
    <w:rsid w:val="004A7F5D"/>
    <w:rsid w:val="004C4C88"/>
    <w:rsid w:val="004D3416"/>
    <w:rsid w:val="00541D3B"/>
    <w:rsid w:val="00555486"/>
    <w:rsid w:val="00574DEB"/>
    <w:rsid w:val="005C460F"/>
    <w:rsid w:val="00617B05"/>
    <w:rsid w:val="0063149B"/>
    <w:rsid w:val="00632B0E"/>
    <w:rsid w:val="00652623"/>
    <w:rsid w:val="006D4D4B"/>
    <w:rsid w:val="007255CB"/>
    <w:rsid w:val="007A2559"/>
    <w:rsid w:val="007A7992"/>
    <w:rsid w:val="007B148B"/>
    <w:rsid w:val="007C0071"/>
    <w:rsid w:val="007F0DF8"/>
    <w:rsid w:val="0081537C"/>
    <w:rsid w:val="008804BA"/>
    <w:rsid w:val="00882ED2"/>
    <w:rsid w:val="008B12C2"/>
    <w:rsid w:val="008F0CE7"/>
    <w:rsid w:val="008F33A7"/>
    <w:rsid w:val="00997320"/>
    <w:rsid w:val="009D53F8"/>
    <w:rsid w:val="00A1490C"/>
    <w:rsid w:val="00A210D3"/>
    <w:rsid w:val="00A35B01"/>
    <w:rsid w:val="00AB7DDD"/>
    <w:rsid w:val="00AF0874"/>
    <w:rsid w:val="00AF58AC"/>
    <w:rsid w:val="00B0375A"/>
    <w:rsid w:val="00B632AB"/>
    <w:rsid w:val="00B9683D"/>
    <w:rsid w:val="00BA7F67"/>
    <w:rsid w:val="00BF2EC3"/>
    <w:rsid w:val="00C13EE5"/>
    <w:rsid w:val="00C21257"/>
    <w:rsid w:val="00C41281"/>
    <w:rsid w:val="00C653EA"/>
    <w:rsid w:val="00C925A5"/>
    <w:rsid w:val="00D46C8F"/>
    <w:rsid w:val="00D60998"/>
    <w:rsid w:val="00DA0A29"/>
    <w:rsid w:val="00DC0C6F"/>
    <w:rsid w:val="00DC5434"/>
    <w:rsid w:val="00E01440"/>
    <w:rsid w:val="00E155DF"/>
    <w:rsid w:val="00E603CB"/>
    <w:rsid w:val="00E74AE6"/>
    <w:rsid w:val="00EA1B22"/>
    <w:rsid w:val="00EC4918"/>
    <w:rsid w:val="00EF089E"/>
    <w:rsid w:val="00EF3A62"/>
    <w:rsid w:val="00F00D5B"/>
    <w:rsid w:val="00F0333C"/>
    <w:rsid w:val="00F15783"/>
    <w:rsid w:val="00F51728"/>
    <w:rsid w:val="00F54B6A"/>
    <w:rsid w:val="00FB2672"/>
    <w:rsid w:val="00FB2936"/>
    <w:rsid w:val="00FC27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745BD-1662-46CA-8207-3C9F779D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4983"/>
    <w:rPr>
      <w:sz w:val="24"/>
      <w:szCs w:val="24"/>
      <w:lang w:val="en-US" w:eastAsia="en-US"/>
    </w:rPr>
  </w:style>
  <w:style w:type="paragraph" w:styleId="Heading2">
    <w:name w:val="heading 2"/>
    <w:basedOn w:val="Normal"/>
    <w:link w:val="Heading2Char"/>
    <w:uiPriority w:val="9"/>
    <w:qFormat/>
    <w:rsid w:val="00D46C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4983"/>
    <w:rPr>
      <w:u w:val="single"/>
    </w:rPr>
  </w:style>
  <w:style w:type="paragraph" w:customStyle="1" w:styleId="HeaderFooter">
    <w:name w:val="Header &amp; Footer"/>
    <w:rsid w:val="003E4983"/>
    <w:pPr>
      <w:tabs>
        <w:tab w:val="right" w:pos="9020"/>
      </w:tabs>
    </w:pPr>
    <w:rPr>
      <w:rFonts w:ascii="Helvetica Neue" w:hAnsi="Helvetica Neue" w:cs="Arial Unicode MS"/>
      <w:color w:val="000000"/>
      <w:sz w:val="24"/>
      <w:szCs w:val="24"/>
    </w:rPr>
  </w:style>
  <w:style w:type="paragraph" w:customStyle="1" w:styleId="Body">
    <w:name w:val="Body"/>
    <w:rsid w:val="003E4983"/>
    <w:pPr>
      <w:spacing w:line="240" w:lineRule="atLeast"/>
    </w:pPr>
    <w:rPr>
      <w:rFonts w:ascii="Calibri" w:hAnsi="Calibri" w:cs="Arial Unicode MS"/>
      <w:color w:val="000000"/>
      <w:sz w:val="22"/>
      <w:szCs w:val="22"/>
      <w:u w:color="000000"/>
    </w:rPr>
  </w:style>
  <w:style w:type="paragraph" w:styleId="ListParagraph">
    <w:name w:val="List Paragraph"/>
    <w:uiPriority w:val="34"/>
    <w:qFormat/>
    <w:rsid w:val="003E4983"/>
    <w:pPr>
      <w:spacing w:line="240" w:lineRule="atLeast"/>
      <w:ind w:left="720"/>
    </w:pPr>
    <w:rPr>
      <w:rFonts w:ascii="Calibri" w:hAnsi="Calibri" w:cs="Arial Unicode MS"/>
      <w:color w:val="000000"/>
      <w:sz w:val="22"/>
      <w:szCs w:val="22"/>
      <w:u w:color="000000"/>
      <w:lang w:val="en-US"/>
    </w:rPr>
  </w:style>
  <w:style w:type="paragraph" w:styleId="Header">
    <w:name w:val="header"/>
    <w:rsid w:val="003E4983"/>
    <w:pPr>
      <w:tabs>
        <w:tab w:val="center" w:pos="4513"/>
        <w:tab w:val="right" w:pos="9026"/>
      </w:tabs>
    </w:pPr>
    <w:rPr>
      <w:rFonts w:ascii="Calibri" w:eastAsia="Calibri" w:hAnsi="Calibri" w:cs="Calibri"/>
      <w:color w:val="000000"/>
      <w:sz w:val="22"/>
      <w:szCs w:val="22"/>
      <w:u w:color="000000"/>
      <w:lang w:val="en-US"/>
    </w:rPr>
  </w:style>
  <w:style w:type="character" w:customStyle="1" w:styleId="Link">
    <w:name w:val="Link"/>
    <w:rsid w:val="003E4983"/>
    <w:rPr>
      <w:color w:val="0563C1"/>
      <w:u w:val="single" w:color="0563C1"/>
    </w:rPr>
  </w:style>
  <w:style w:type="character" w:customStyle="1" w:styleId="Hyperlink0">
    <w:name w:val="Hyperlink.0"/>
    <w:basedOn w:val="Link"/>
    <w:rsid w:val="003E4983"/>
    <w:rPr>
      <w:rFonts w:ascii="Calibri" w:eastAsia="Calibri" w:hAnsi="Calibri" w:cs="Calibri"/>
      <w:color w:val="0563C1"/>
      <w:u w:val="single" w:color="0563C1"/>
      <w:lang w:val="en-US"/>
    </w:rPr>
  </w:style>
  <w:style w:type="paragraph" w:styleId="BalloonText">
    <w:name w:val="Balloon Text"/>
    <w:basedOn w:val="Normal"/>
    <w:link w:val="BalloonTextChar"/>
    <w:uiPriority w:val="99"/>
    <w:semiHidden/>
    <w:unhideWhenUsed/>
    <w:rsid w:val="00C653EA"/>
    <w:rPr>
      <w:rFonts w:ascii="Tahoma" w:hAnsi="Tahoma" w:cs="Tahoma"/>
      <w:sz w:val="16"/>
      <w:szCs w:val="16"/>
    </w:rPr>
  </w:style>
  <w:style w:type="character" w:customStyle="1" w:styleId="BalloonTextChar">
    <w:name w:val="Balloon Text Char"/>
    <w:basedOn w:val="DefaultParagraphFont"/>
    <w:link w:val="BalloonText"/>
    <w:uiPriority w:val="99"/>
    <w:semiHidden/>
    <w:rsid w:val="00C653EA"/>
    <w:rPr>
      <w:rFonts w:ascii="Tahoma" w:hAnsi="Tahoma" w:cs="Tahoma"/>
      <w:sz w:val="16"/>
      <w:szCs w:val="16"/>
      <w:lang w:val="en-US" w:eastAsia="en-US"/>
    </w:rPr>
  </w:style>
  <w:style w:type="paragraph" w:styleId="NoSpacing">
    <w:name w:val="No Spacing"/>
    <w:uiPriority w:val="1"/>
    <w:qFormat/>
    <w:rsid w:val="00E155DF"/>
    <w:rPr>
      <w:sz w:val="24"/>
      <w:szCs w:val="24"/>
      <w:lang w:val="en-US" w:eastAsia="en-US"/>
    </w:rPr>
  </w:style>
  <w:style w:type="character" w:customStyle="1" w:styleId="Heading2Char">
    <w:name w:val="Heading 2 Char"/>
    <w:basedOn w:val="DefaultParagraphFont"/>
    <w:link w:val="Heading2"/>
    <w:uiPriority w:val="9"/>
    <w:rsid w:val="00D46C8F"/>
    <w:rPr>
      <w:rFonts w:eastAsia="Times New Roman"/>
      <w:b/>
      <w:bCs/>
      <w:sz w:val="36"/>
      <w:szCs w:val="36"/>
      <w:bdr w:val="none" w:sz="0" w:space="0" w:color="auto"/>
    </w:rPr>
  </w:style>
  <w:style w:type="character" w:customStyle="1" w:styleId="fl-heading-text">
    <w:name w:val="fl-heading-text"/>
    <w:basedOn w:val="DefaultParagraphFont"/>
    <w:rsid w:val="00D46C8F"/>
  </w:style>
  <w:style w:type="paragraph" w:styleId="Footer">
    <w:name w:val="footer"/>
    <w:basedOn w:val="Normal"/>
    <w:link w:val="FooterChar"/>
    <w:uiPriority w:val="99"/>
    <w:unhideWhenUsed/>
    <w:rsid w:val="00133838"/>
    <w:pPr>
      <w:tabs>
        <w:tab w:val="center" w:pos="4513"/>
        <w:tab w:val="right" w:pos="9026"/>
      </w:tabs>
    </w:pPr>
  </w:style>
  <w:style w:type="character" w:customStyle="1" w:styleId="FooterChar">
    <w:name w:val="Footer Char"/>
    <w:basedOn w:val="DefaultParagraphFont"/>
    <w:link w:val="Footer"/>
    <w:uiPriority w:val="99"/>
    <w:rsid w:val="0013383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3006">
      <w:bodyDiv w:val="1"/>
      <w:marLeft w:val="0"/>
      <w:marRight w:val="0"/>
      <w:marTop w:val="0"/>
      <w:marBottom w:val="0"/>
      <w:divBdr>
        <w:top w:val="none" w:sz="0" w:space="0" w:color="auto"/>
        <w:left w:val="none" w:sz="0" w:space="0" w:color="auto"/>
        <w:bottom w:val="none" w:sz="0" w:space="0" w:color="auto"/>
        <w:right w:val="none" w:sz="0" w:space="0" w:color="auto"/>
      </w:divBdr>
    </w:div>
    <w:div w:id="623393579">
      <w:bodyDiv w:val="1"/>
      <w:marLeft w:val="0"/>
      <w:marRight w:val="0"/>
      <w:marTop w:val="0"/>
      <w:marBottom w:val="0"/>
      <w:divBdr>
        <w:top w:val="none" w:sz="0" w:space="0" w:color="auto"/>
        <w:left w:val="none" w:sz="0" w:space="0" w:color="auto"/>
        <w:bottom w:val="none" w:sz="0" w:space="0" w:color="auto"/>
        <w:right w:val="none" w:sz="0" w:space="0" w:color="auto"/>
      </w:divBdr>
    </w:div>
    <w:div w:id="917519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colo@linkeducation.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Nicolo Di Marzo</dc:creator>
  <cp:lastModifiedBy>Lyndsey Rae</cp:lastModifiedBy>
  <cp:revision>2</cp:revision>
  <dcterms:created xsi:type="dcterms:W3CDTF">2021-04-02T15:22:00Z</dcterms:created>
  <dcterms:modified xsi:type="dcterms:W3CDTF">2021-04-02T15:22:00Z</dcterms:modified>
</cp:coreProperties>
</file>